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677"/>
      </w:tblGrid>
      <w:tr w:rsidR="009831E4" w:rsidRPr="002824FC" w:rsidTr="008B157E">
        <w:trPr>
          <w:cantSplit/>
          <w:trHeight w:val="1870"/>
        </w:trPr>
        <w:tc>
          <w:tcPr>
            <w:tcW w:w="4503" w:type="dxa"/>
          </w:tcPr>
          <w:p w:rsidR="00AE7A1B" w:rsidRDefault="00AE7A1B" w:rsidP="00AE7A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proofErr w:type="gramStart"/>
            <w:r>
              <w:rPr>
                <w:b/>
                <w:bCs/>
                <w:sz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AE7A1B" w:rsidRPr="000758A6" w:rsidRDefault="00AE7A1B" w:rsidP="00AE7A1B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 (+375 17) 327 61 21, факс (+375 17) 327 24 80</w:t>
            </w:r>
          </w:p>
          <w:p w:rsidR="00AE7A1B" w:rsidRPr="00AE7A1B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AE7A1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AE7A1B" w:rsidRPr="000E2DD3" w:rsidRDefault="00AE7A1B" w:rsidP="00AE7A1B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9831E4" w:rsidRPr="00C423BA" w:rsidRDefault="009831E4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567" w:type="dxa"/>
          </w:tcPr>
          <w:p w:rsidR="009831E4" w:rsidRPr="00C423BA" w:rsidRDefault="009831E4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AE7A1B" w:rsidRDefault="00AE7A1B" w:rsidP="00AE7A1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</w:t>
            </w:r>
            <w:proofErr w:type="gramStart"/>
            <w:r>
              <w:rPr>
                <w:b/>
                <w:bCs/>
                <w:sz w:val="28"/>
              </w:rPr>
              <w:t>C</w:t>
            </w:r>
            <w:proofErr w:type="gramEnd"/>
            <w:r>
              <w:rPr>
                <w:b/>
                <w:bCs/>
                <w:sz w:val="28"/>
              </w:rPr>
              <w:t>ТЕРСТВО АНТИМОНОПОЛЬНОГО РЕГУЛИРОВАНИЯ  И ТОРГОВЛИ</w:t>
            </w:r>
          </w:p>
          <w:p w:rsidR="00AE7A1B" w:rsidRDefault="00AE7A1B" w:rsidP="00AE7A1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AE7A1B" w:rsidRPr="00285749" w:rsidRDefault="00AE7A1B" w:rsidP="00AE7A1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</w:t>
            </w:r>
            <w:proofErr w:type="spellStart"/>
            <w:r w:rsidRPr="00285749">
              <w:rPr>
                <w:sz w:val="16"/>
                <w:szCs w:val="16"/>
              </w:rPr>
              <w:t>корп.1</w:t>
            </w:r>
            <w:proofErr w:type="spellEnd"/>
            <w:r w:rsidRPr="00285749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AE7A1B" w:rsidRPr="00285749" w:rsidRDefault="00AE7A1B" w:rsidP="00AE7A1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AE7A1B" w:rsidRPr="000E2DD3" w:rsidRDefault="00AE7A1B" w:rsidP="00AE7A1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9831E4" w:rsidRPr="002824FC" w:rsidRDefault="009831E4" w:rsidP="00B23CA7">
            <w:pPr>
              <w:ind w:left="-142" w:right="67" w:firstLine="317"/>
              <w:rPr>
                <w:sz w:val="24"/>
              </w:rPr>
            </w:pPr>
          </w:p>
        </w:tc>
      </w:tr>
      <w:tr w:rsidR="009008FD" w:rsidRPr="002824FC" w:rsidTr="008B157E">
        <w:trPr>
          <w:cantSplit/>
          <w:trHeight w:val="188"/>
        </w:trPr>
        <w:tc>
          <w:tcPr>
            <w:tcW w:w="4503" w:type="dxa"/>
          </w:tcPr>
          <w:p w:rsidR="009008FD" w:rsidRDefault="009008FD" w:rsidP="009008FD">
            <w:pPr>
              <w:pStyle w:val="1"/>
              <w:jc w:val="center"/>
              <w:rPr>
                <w:spacing w:val="-20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9008FD" w:rsidRPr="000627B2" w:rsidRDefault="00A5132D" w:rsidP="009008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DCC25" wp14:editId="6C5D88EC">
                      <wp:simplePos x="0" y="0"/>
                      <wp:positionH relativeFrom="column">
                        <wp:posOffset>195810</wp:posOffset>
                      </wp:positionH>
                      <wp:positionV relativeFrom="paragraph">
                        <wp:posOffset>101006</wp:posOffset>
                      </wp:positionV>
                      <wp:extent cx="3122578" cy="1050290"/>
                      <wp:effectExtent l="0" t="0" r="1905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578" cy="105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266" w:rsidRPr="00016841" w:rsidRDefault="005F5CCB" w:rsidP="005F5CCB">
                                  <w:pPr>
                                    <w:spacing w:after="120"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F5CCB">
                                    <w:rPr>
                                      <w:sz w:val="30"/>
                                      <w:szCs w:val="30"/>
                                    </w:rPr>
                                    <w:t>Государственные органы, организации, подчиненные Правительству Республики Беларусь, иные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.4pt;margin-top:7.95pt;width:245.8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ppnAIAABY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CrxBCNJWqBo83nzZfN1833z7fbj7SeU+hp12hbgeq3B2fXnqgeuQ75WXyn6xiKp&#10;Lhoil+zMGNU1jFQQY+JPRgdHBxzrQRbdM1XBZWTlVADqa9P6AkJJEKADVzd7fljvEIXNR0majieg&#10;KAq2JB7HaR4YjEixO66NdU+YapGflNiAAAI8WV9Z58Mhxc7F32aV4NWcCxEWZrm4EAatCYhlHr6Q&#10;wT03Ib2zVP7YgDjsQJRwh7f5eAP57/MkzeLzNB/Nj6eTUTbPxqN8Ek9HcZKf58dxlmeX8w8+wCQr&#10;Gl5VTF5xyXZCTLK/I3rbEoOEghRRV+J8nI4Hjv6YZBy+3yXZcgd9KXhb4uneiRSe2ceygrRJ4QgX&#10;wzz6OfxQZajB7h+qEnTgqR9E4PpFDyheHAtV3YAijAK+gHZ4TGDSKPMOow4as8T27YoYhpF4KkFV&#10;eZJlvpPDIhtPUliYQ8vi0EIkBagSO4yG6YUbun+lDV82cNOgY6nOQIk1Dxq5i2qrX2i+kMz2ofDd&#10;fbgOXnfP2ewHAAAA//8DAFBLAwQUAAYACAAAACEACaf8H94AAAAJAQAADwAAAGRycy9kb3ducmV2&#10;LnhtbEyPzU7DQAyE70i8w8pIXBDdNCX9SbOpAAnEtaUP4CRuEjXrjbLbJn17zAmOM2PNfM52k+3U&#10;lQbfOjYwn0WgiEtXtVwbOH5/PK9B+YBcYeeYDNzIwy6/v8swrdzIe7oeQq2khH2KBpoQ+lRrXzZk&#10;0c9cTyzZyQ0Wg8ih1tWAo5TbTsdRtNQWW5aFBnt6b6g8Hy7WwOlrfEo2Y/EZjqv9y/IN21XhbsY8&#10;PkyvW1CBpvB3DL/4gg65MBXuwpVXnYFFJORB/GQDSvIkjhNQhRjr+QJ0nun/H+Q/AAAA//8DAFBL&#10;AQItABQABgAIAAAAIQC2gziS/gAAAOEBAAATAAAAAAAAAAAAAAAAAAAAAABbQ29udGVudF9UeXBl&#10;c10ueG1sUEsBAi0AFAAGAAgAAAAhADj9If/WAAAAlAEAAAsAAAAAAAAAAAAAAAAALwEAAF9yZWxz&#10;Ly5yZWxzUEsBAi0AFAAGAAgAAAAhAM1HWmmcAgAAFgUAAA4AAAAAAAAAAAAAAAAALgIAAGRycy9l&#10;Mm9Eb2MueG1sUEsBAi0AFAAGAAgAAAAhAAmn/B/eAAAACQEAAA8AAAAAAAAAAAAAAAAA9gQAAGRy&#10;cy9kb3ducmV2LnhtbFBLBQYAAAAABAAEAPMAAAABBgAAAAA=&#10;" stroked="f">
                      <v:textbox>
                        <w:txbxContent>
                          <w:p w:rsidR="00095266" w:rsidRPr="00016841" w:rsidRDefault="005F5CCB" w:rsidP="005F5CCB">
                            <w:pPr>
                              <w:spacing w:after="120"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5F5CCB">
                              <w:rPr>
                                <w:sz w:val="30"/>
                                <w:szCs w:val="30"/>
                              </w:rPr>
                              <w:t>Государственные органы, организации, подчиненные Правительству Республики Беларусь, иные организации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08FD" w:rsidRDefault="009008FD" w:rsidP="009008FD">
            <w:pPr>
              <w:pStyle w:val="1"/>
              <w:jc w:val="center"/>
              <w:rPr>
                <w:sz w:val="24"/>
                <w:lang w:val="ru-RU"/>
              </w:rPr>
            </w:pPr>
          </w:p>
        </w:tc>
      </w:tr>
    </w:tbl>
    <w:p w:rsidR="009831E4" w:rsidRPr="002824FC" w:rsidRDefault="009831E4"/>
    <w:p w:rsidR="009831E4" w:rsidRDefault="009831E4">
      <w:pPr>
        <w:tabs>
          <w:tab w:val="left" w:pos="7088"/>
        </w:tabs>
      </w:pPr>
    </w:p>
    <w:p w:rsidR="00B75991" w:rsidRPr="001C2B8C" w:rsidRDefault="003A6AE8" w:rsidP="00B75991">
      <w:pPr>
        <w:tabs>
          <w:tab w:val="left" w:pos="7088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97790</wp:posOffset>
                </wp:positionV>
                <wp:extent cx="1310640" cy="281305"/>
                <wp:effectExtent l="0" t="0" r="0" b="44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E0B" w:rsidRPr="00C174A7" w:rsidRDefault="004F5E0B" w:rsidP="00F852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9.75pt;margin-top:7.7pt;width:103.2pt;height:22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    <v:textbox style="mso-fit-shape-to-text:t">
                  <w:txbxContent>
                    <w:p w:rsidR="004F5E0B" w:rsidRPr="00C174A7" w:rsidRDefault="004F5E0B" w:rsidP="00F852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1310640" cy="281305"/>
                <wp:effectExtent l="0" t="0" r="0" b="44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58D" w:rsidRPr="00C174A7" w:rsidRDefault="00EE358D" w:rsidP="00A564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75pt;margin-top:7.35pt;width:103.2pt;height:22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    <v:textbox style="mso-fit-shape-to-text:t">
                  <w:txbxContent>
                    <w:p w:rsidR="00EE358D" w:rsidRPr="00C174A7" w:rsidRDefault="00EE358D" w:rsidP="00A564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B8C">
        <w:rPr>
          <w:sz w:val="24"/>
        </w:rPr>
        <w:t>2</w:t>
      </w:r>
      <w:r w:rsidR="00233398">
        <w:rPr>
          <w:sz w:val="24"/>
        </w:rPr>
        <w:t>4</w:t>
      </w:r>
      <w:r w:rsidR="001C2B8C" w:rsidRPr="001C2B8C">
        <w:rPr>
          <w:sz w:val="26"/>
          <w:szCs w:val="26"/>
        </w:rPr>
        <w:t>.03.2017</w:t>
      </w:r>
      <w:r w:rsidR="005F5CCB" w:rsidRPr="001C2B8C">
        <w:rPr>
          <w:sz w:val="26"/>
          <w:szCs w:val="26"/>
        </w:rPr>
        <w:t xml:space="preserve"> </w:t>
      </w:r>
      <w:r w:rsidR="00972322" w:rsidRPr="001C2B8C">
        <w:rPr>
          <w:sz w:val="26"/>
          <w:szCs w:val="26"/>
        </w:rPr>
        <w:t>№</w:t>
      </w:r>
      <w:r w:rsidR="00CE0CC6" w:rsidRPr="001C2B8C">
        <w:rPr>
          <w:sz w:val="26"/>
          <w:szCs w:val="26"/>
        </w:rPr>
        <w:t xml:space="preserve"> </w:t>
      </w:r>
      <w:r w:rsidR="001C2B8C" w:rsidRPr="001C2B8C">
        <w:rPr>
          <w:sz w:val="26"/>
          <w:szCs w:val="26"/>
        </w:rPr>
        <w:t>14-01-0</w:t>
      </w:r>
      <w:r w:rsidR="00233398">
        <w:rPr>
          <w:sz w:val="26"/>
          <w:szCs w:val="26"/>
        </w:rPr>
        <w:t>6</w:t>
      </w:r>
      <w:r w:rsidR="001C2B8C" w:rsidRPr="001C2B8C">
        <w:rPr>
          <w:sz w:val="26"/>
          <w:szCs w:val="26"/>
        </w:rPr>
        <w:t>/7</w:t>
      </w:r>
      <w:r w:rsidR="00233398">
        <w:rPr>
          <w:sz w:val="26"/>
          <w:szCs w:val="26"/>
        </w:rPr>
        <w:t>42</w:t>
      </w:r>
      <w:bookmarkStart w:id="0" w:name="_GoBack"/>
      <w:bookmarkEnd w:id="0"/>
      <w:r w:rsidR="001C2B8C" w:rsidRPr="001C2B8C">
        <w:rPr>
          <w:sz w:val="26"/>
          <w:szCs w:val="26"/>
        </w:rPr>
        <w:t xml:space="preserve"> К</w:t>
      </w:r>
    </w:p>
    <w:p w:rsidR="000F1483" w:rsidRPr="002A18DC" w:rsidRDefault="003A6AE8" w:rsidP="00B75991">
      <w:pPr>
        <w:tabs>
          <w:tab w:val="left" w:pos="7088"/>
        </w:tabs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635</wp:posOffset>
                </wp:positionV>
                <wp:extent cx="933450" cy="2813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E0B" w:rsidRPr="00C174A7" w:rsidRDefault="004F5E0B" w:rsidP="004F5E0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.95pt;margin-top:.05pt;width:73.5pt;height:22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    <v:textbox style="mso-fit-shape-to-text:t">
                  <w:txbxContent>
                    <w:p w:rsidR="004F5E0B" w:rsidRPr="00C174A7" w:rsidRDefault="004F5E0B" w:rsidP="004F5E0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19685</wp:posOffset>
                </wp:positionV>
                <wp:extent cx="1310640" cy="28130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A5" w:rsidRPr="00C174A7" w:rsidRDefault="005234A5" w:rsidP="00EC268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6.75pt;margin-top:1.55pt;width:103.2pt;height:22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    <v:textbox style="mso-fit-shape-to-text:t">
                  <w:txbxContent>
                    <w:p w:rsidR="005234A5" w:rsidRPr="00C174A7" w:rsidRDefault="005234A5" w:rsidP="00EC268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1E4">
        <w:rPr>
          <w:sz w:val="24"/>
        </w:rPr>
        <w:t xml:space="preserve">на № ____________ </w:t>
      </w:r>
      <w:r w:rsidR="001B1862">
        <w:rPr>
          <w:sz w:val="24"/>
        </w:rPr>
        <w:t>от</w:t>
      </w:r>
      <w:r w:rsidR="00F330F9">
        <w:rPr>
          <w:sz w:val="24"/>
        </w:rPr>
        <w:t>________________</w:t>
      </w:r>
    </w:p>
    <w:p w:rsidR="00357F7E" w:rsidRDefault="00357F7E" w:rsidP="006E796D">
      <w:pPr>
        <w:jc w:val="both"/>
        <w:rPr>
          <w:color w:val="000000"/>
          <w:spacing w:val="2"/>
          <w:sz w:val="30"/>
          <w:szCs w:val="30"/>
        </w:rPr>
      </w:pPr>
    </w:p>
    <w:p w:rsidR="005F5CCB" w:rsidRDefault="005F5CCB" w:rsidP="005F5CCB">
      <w:pPr>
        <w:rPr>
          <w:sz w:val="30"/>
          <w:szCs w:val="30"/>
        </w:rPr>
      </w:pPr>
      <w:r w:rsidRPr="00BE30DB">
        <w:rPr>
          <w:sz w:val="30"/>
          <w:szCs w:val="30"/>
        </w:rPr>
        <w:t xml:space="preserve">О </w:t>
      </w:r>
      <w:r>
        <w:rPr>
          <w:sz w:val="30"/>
          <w:szCs w:val="30"/>
        </w:rPr>
        <w:t>размещении сведений о договорах</w:t>
      </w:r>
    </w:p>
    <w:p w:rsidR="00357F7E" w:rsidRPr="00A2580E" w:rsidRDefault="00357F7E" w:rsidP="006E796D">
      <w:pPr>
        <w:jc w:val="both"/>
        <w:rPr>
          <w:sz w:val="30"/>
          <w:szCs w:val="30"/>
        </w:rPr>
      </w:pP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C4470B">
        <w:rPr>
          <w:sz w:val="30"/>
          <w:szCs w:val="30"/>
        </w:rPr>
        <w:t xml:space="preserve">Министерство антимонопольного регулирования и торговли на основании полномочий, предоставленных статьей 9 Закона Республики Беларусь от 13 июля 2012 года «О государственных закупках товаров (работ, услуг)» (далее – Закон), по вопросу </w:t>
      </w:r>
      <w:r>
        <w:rPr>
          <w:sz w:val="30"/>
          <w:szCs w:val="30"/>
        </w:rPr>
        <w:t xml:space="preserve">заполнения сведений о договорах поясняет </w:t>
      </w:r>
      <w:r w:rsidRPr="00C4470B">
        <w:rPr>
          <w:sz w:val="30"/>
          <w:szCs w:val="30"/>
        </w:rPr>
        <w:t>следующее.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пункту 11 Положения</w:t>
      </w:r>
      <w:r w:rsidRPr="007D53D7">
        <w:rPr>
          <w:sz w:val="30"/>
          <w:szCs w:val="30"/>
        </w:rPr>
        <w:t xml:space="preserve"> о порядке размещения информации о государственных закупках и актов законодательства о государственных закупках на официальном сайте</w:t>
      </w:r>
      <w:r>
        <w:rPr>
          <w:sz w:val="30"/>
          <w:szCs w:val="30"/>
        </w:rPr>
        <w:t>, утвержденного п</w:t>
      </w:r>
      <w:r w:rsidRPr="007D53D7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7D53D7">
        <w:rPr>
          <w:sz w:val="30"/>
          <w:szCs w:val="30"/>
        </w:rPr>
        <w:t xml:space="preserve"> Совета Министров Рес</w:t>
      </w:r>
      <w:r>
        <w:rPr>
          <w:sz w:val="30"/>
          <w:szCs w:val="30"/>
        </w:rPr>
        <w:t>публики Беларусь от 22 августа 2012 г. №</w:t>
      </w:r>
      <w:r w:rsidRPr="007D53D7">
        <w:rPr>
          <w:sz w:val="30"/>
          <w:szCs w:val="30"/>
        </w:rPr>
        <w:t xml:space="preserve"> 778</w:t>
      </w:r>
      <w:r>
        <w:rPr>
          <w:sz w:val="30"/>
          <w:szCs w:val="30"/>
        </w:rPr>
        <w:t xml:space="preserve"> «</w:t>
      </w:r>
      <w:r w:rsidRPr="007D53D7">
        <w:rPr>
          <w:sz w:val="30"/>
          <w:szCs w:val="30"/>
        </w:rPr>
        <w:t>О</w:t>
      </w:r>
      <w:r>
        <w:rPr>
          <w:sz w:val="30"/>
          <w:szCs w:val="30"/>
        </w:rPr>
        <w:t> </w:t>
      </w:r>
      <w:r w:rsidRPr="007D53D7">
        <w:rPr>
          <w:sz w:val="30"/>
          <w:szCs w:val="30"/>
        </w:rPr>
        <w:t xml:space="preserve">некоторых мерах по реализации Закона Республики Беларусь </w:t>
      </w:r>
      <w:r>
        <w:rPr>
          <w:sz w:val="30"/>
          <w:szCs w:val="30"/>
        </w:rPr>
        <w:t>«</w:t>
      </w:r>
      <w:r w:rsidRPr="007D53D7">
        <w:rPr>
          <w:sz w:val="30"/>
          <w:szCs w:val="30"/>
        </w:rPr>
        <w:t>О</w:t>
      </w:r>
      <w:r>
        <w:rPr>
          <w:sz w:val="30"/>
          <w:szCs w:val="30"/>
        </w:rPr>
        <w:t> </w:t>
      </w:r>
      <w:r w:rsidRPr="007D53D7">
        <w:rPr>
          <w:sz w:val="30"/>
          <w:szCs w:val="30"/>
        </w:rPr>
        <w:t xml:space="preserve">государственных </w:t>
      </w:r>
      <w:r>
        <w:rPr>
          <w:sz w:val="30"/>
          <w:szCs w:val="30"/>
        </w:rPr>
        <w:t>закупках товаров (работ, услуг)» (далее – Положение)</w:t>
      </w:r>
      <w:r w:rsidR="008F249F">
        <w:rPr>
          <w:sz w:val="30"/>
          <w:szCs w:val="30"/>
        </w:rPr>
        <w:t>,</w:t>
      </w:r>
      <w:r>
        <w:rPr>
          <w:sz w:val="30"/>
          <w:szCs w:val="30"/>
        </w:rPr>
        <w:t xml:space="preserve"> з</w:t>
      </w:r>
      <w:r w:rsidRPr="007D53D7">
        <w:rPr>
          <w:sz w:val="30"/>
          <w:szCs w:val="30"/>
        </w:rPr>
        <w:t xml:space="preserve">аказчиком (организатором) размещаются </w:t>
      </w:r>
      <w:r w:rsidR="00D238AC" w:rsidRPr="007D53D7">
        <w:rPr>
          <w:sz w:val="30"/>
          <w:szCs w:val="30"/>
        </w:rPr>
        <w:t>в</w:t>
      </w:r>
      <w:r w:rsidR="00D238AC">
        <w:rPr>
          <w:sz w:val="30"/>
          <w:szCs w:val="30"/>
          <w:lang w:val="en-US"/>
        </w:rPr>
        <w:t> </w:t>
      </w:r>
      <w:r w:rsidR="00D238AC" w:rsidRPr="007D53D7">
        <w:rPr>
          <w:sz w:val="30"/>
          <w:szCs w:val="30"/>
        </w:rPr>
        <w:t xml:space="preserve">открытом доступе </w:t>
      </w:r>
      <w:r w:rsidRPr="007D53D7">
        <w:rPr>
          <w:sz w:val="30"/>
          <w:szCs w:val="30"/>
        </w:rPr>
        <w:t xml:space="preserve">на </w:t>
      </w:r>
      <w:r w:rsidRPr="00E23D91">
        <w:rPr>
          <w:sz w:val="30"/>
          <w:szCs w:val="30"/>
        </w:rPr>
        <w:t>официальном сайте (</w:t>
      </w:r>
      <w:r w:rsidRPr="00E23D91">
        <w:rPr>
          <w:sz w:val="30"/>
          <w:szCs w:val="30"/>
          <w:lang w:val="en-US"/>
        </w:rPr>
        <w:t>www</w:t>
      </w:r>
      <w:r w:rsidRPr="00E23D91">
        <w:rPr>
          <w:sz w:val="30"/>
          <w:szCs w:val="30"/>
        </w:rPr>
        <w:t>.</w:t>
      </w:r>
      <w:proofErr w:type="spellStart"/>
      <w:r w:rsidRPr="00E23D91">
        <w:rPr>
          <w:sz w:val="30"/>
          <w:szCs w:val="30"/>
          <w:lang w:val="en-US"/>
        </w:rPr>
        <w:t>icetrade</w:t>
      </w:r>
      <w:proofErr w:type="spellEnd"/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by</w:t>
      </w:r>
      <w:proofErr w:type="gramEnd"/>
      <w:r w:rsidRPr="00E23D91">
        <w:rPr>
          <w:sz w:val="30"/>
          <w:szCs w:val="30"/>
        </w:rPr>
        <w:t>) и на электронной торговой площадке (</w:t>
      </w:r>
      <w:hyperlink r:id="rId8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r w:rsidRPr="00E23D91">
        <w:rPr>
          <w:sz w:val="30"/>
          <w:szCs w:val="30"/>
          <w:lang w:val="en-US"/>
        </w:rPr>
        <w:t>www</w:t>
      </w:r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zakupki</w:t>
      </w:r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butb</w:t>
      </w:r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by</w:t>
      </w:r>
      <w:r w:rsidRPr="00E23D91">
        <w:rPr>
          <w:sz w:val="30"/>
          <w:szCs w:val="30"/>
        </w:rPr>
        <w:t>) при проведении на ней процедуры государственной</w:t>
      </w:r>
      <w:r w:rsidRPr="007D53D7">
        <w:rPr>
          <w:sz w:val="30"/>
          <w:szCs w:val="30"/>
        </w:rPr>
        <w:t xml:space="preserve"> закупки сведения о</w:t>
      </w:r>
      <w:r w:rsidR="00382FD7">
        <w:rPr>
          <w:sz w:val="30"/>
          <w:szCs w:val="30"/>
        </w:rPr>
        <w:t> </w:t>
      </w:r>
      <w:r w:rsidRPr="007D53D7">
        <w:rPr>
          <w:sz w:val="30"/>
          <w:szCs w:val="30"/>
        </w:rPr>
        <w:t>договорах, заключенных по результатам проведения процедур гос</w:t>
      </w:r>
      <w:r>
        <w:rPr>
          <w:sz w:val="30"/>
          <w:szCs w:val="30"/>
        </w:rPr>
        <w:t>ударственных закупок.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Ежегодному размещению в открытом доступе подлежат сведения о договорах, заключенных по результатам всех процедур государственных закупок (открытый конкурс, процедура запроса ценовых </w:t>
      </w:r>
      <w:r w:rsidRPr="00840932">
        <w:rPr>
          <w:sz w:val="30"/>
          <w:szCs w:val="30"/>
        </w:rPr>
        <w:t>предложений, электронный аукцион, процеду</w:t>
      </w:r>
      <w:r w:rsidR="00D238AC">
        <w:rPr>
          <w:sz w:val="30"/>
          <w:szCs w:val="30"/>
        </w:rPr>
        <w:t>ра закупк</w:t>
      </w:r>
      <w:r w:rsidR="008F249F">
        <w:rPr>
          <w:sz w:val="30"/>
          <w:szCs w:val="30"/>
        </w:rPr>
        <w:t>и</w:t>
      </w:r>
      <w:r w:rsidR="00D238AC">
        <w:rPr>
          <w:sz w:val="30"/>
          <w:szCs w:val="30"/>
        </w:rPr>
        <w:t xml:space="preserve"> из одного источника </w:t>
      </w:r>
      <w:r>
        <w:rPr>
          <w:sz w:val="30"/>
          <w:szCs w:val="30"/>
        </w:rPr>
        <w:t>(например,</w:t>
      </w:r>
      <w:proofErr w:type="gramEnd"/>
      <w:r>
        <w:rPr>
          <w:sz w:val="30"/>
          <w:szCs w:val="30"/>
        </w:rPr>
        <w:t xml:space="preserve"> в 2017 году размещаются сведения обо всех договорах на потребность 2017 года).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полноту, своевременность и достоверность размещаемых сведений о договорах несет заказчик (организатор). При проведении процедуры государственной закупки организатором порядок размещения сведений о договорах по результатам проведенных процедур должен быть урегулирован между заказчиком и организатором</w:t>
      </w:r>
      <w:r w:rsidRPr="001D2A09">
        <w:rPr>
          <w:sz w:val="30"/>
          <w:szCs w:val="30"/>
        </w:rPr>
        <w:t xml:space="preserve"> </w:t>
      </w:r>
      <w:r>
        <w:rPr>
          <w:sz w:val="30"/>
          <w:szCs w:val="30"/>
        </w:rPr>
        <w:t>в договоре на оказание услуг по проведению процедуры государственной закупки.</w:t>
      </w:r>
    </w:p>
    <w:p w:rsidR="00A5132D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5841">
        <w:rPr>
          <w:sz w:val="30"/>
          <w:szCs w:val="30"/>
        </w:rPr>
        <w:t xml:space="preserve">Согласно </w:t>
      </w:r>
      <w:hyperlink r:id="rId9" w:history="1">
        <w:r w:rsidRPr="00B55841">
          <w:rPr>
            <w:sz w:val="30"/>
            <w:szCs w:val="30"/>
          </w:rPr>
          <w:t>абзацу 7 части 2 пункта 10</w:t>
        </w:r>
      </w:hyperlink>
      <w:r w:rsidRPr="00B55841">
        <w:rPr>
          <w:sz w:val="30"/>
          <w:szCs w:val="30"/>
        </w:rPr>
        <w:t xml:space="preserve"> Положения </w:t>
      </w:r>
      <w:r>
        <w:rPr>
          <w:sz w:val="30"/>
          <w:szCs w:val="30"/>
        </w:rPr>
        <w:t xml:space="preserve">сведения о договорах, об изменениях и дополнениях к ним, а также о результатах их </w:t>
      </w:r>
      <w:r>
        <w:rPr>
          <w:sz w:val="30"/>
          <w:szCs w:val="30"/>
        </w:rPr>
        <w:lastRenderedPageBreak/>
        <w:t xml:space="preserve">исполнения размещаются в течение двадцати календарных дней </w:t>
      </w:r>
      <w:proofErr w:type="gramStart"/>
      <w:r>
        <w:rPr>
          <w:sz w:val="30"/>
          <w:szCs w:val="30"/>
        </w:rPr>
        <w:t>с даты подписания</w:t>
      </w:r>
      <w:proofErr w:type="gramEnd"/>
      <w:r>
        <w:rPr>
          <w:sz w:val="30"/>
          <w:szCs w:val="30"/>
        </w:rPr>
        <w:t xml:space="preserve"> договора либо дополнительного соглашения к договору.</w:t>
      </w:r>
    </w:p>
    <w:p w:rsidR="00A5132D" w:rsidRPr="00617394" w:rsidRDefault="00A5132D" w:rsidP="00A5132D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17394">
        <w:rPr>
          <w:i/>
          <w:sz w:val="30"/>
          <w:szCs w:val="30"/>
        </w:rPr>
        <w:t>Административная ответственность за нарушение порядка проведения государственной закупки предусмотрена част</w:t>
      </w:r>
      <w:r>
        <w:rPr>
          <w:i/>
          <w:sz w:val="30"/>
          <w:szCs w:val="30"/>
        </w:rPr>
        <w:t>ью</w:t>
      </w:r>
      <w:r w:rsidRPr="00617394">
        <w:rPr>
          <w:i/>
          <w:sz w:val="30"/>
          <w:szCs w:val="30"/>
        </w:rPr>
        <w:t xml:space="preserve"> четвертой статьи 11.16 Кодекса Республики Беларусь об административных правонарушениях.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заполнения отдельных граф при размещении сведений о договорах следующий.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Графы «Наименование </w:t>
      </w:r>
      <w:r w:rsidRPr="00E23D91">
        <w:rPr>
          <w:sz w:val="30"/>
          <w:szCs w:val="30"/>
        </w:rPr>
        <w:t>предмета договора» (</w:t>
      </w:r>
      <w:hyperlink r:id="rId10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11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), «предмет договора» (</w:t>
      </w:r>
      <w:hyperlink r:id="rId12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zakupki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butb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 формулируются заказчиком (организатором) в соответствии с наименованием, указанным в договоре, заключенном</w:t>
      </w:r>
      <w:r>
        <w:rPr>
          <w:sz w:val="30"/>
          <w:szCs w:val="30"/>
        </w:rPr>
        <w:t xml:space="preserve"> между заказчиком (организатором) и участником-победителем (участником процедуры закупки из одного источника).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Графа «Номер договора» заполняется точно в соответствии с номером заключенного договора. При заключении дополнительного соглашения к договору заказчиком (организатором) указывается номер первоначального договора и номер дополнительного соглашения.</w:t>
      </w:r>
    </w:p>
    <w:p w:rsidR="00A5132D" w:rsidRPr="003C0705" w:rsidRDefault="00A5132D" w:rsidP="00A5132D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C0705">
        <w:rPr>
          <w:i/>
          <w:sz w:val="30"/>
          <w:szCs w:val="30"/>
        </w:rPr>
        <w:t>Одновременно обращаем внимание, что согласно пункту 1 статьи</w:t>
      </w:r>
      <w:r>
        <w:rPr>
          <w:i/>
          <w:sz w:val="30"/>
          <w:szCs w:val="30"/>
        </w:rPr>
        <w:t> </w:t>
      </w:r>
      <w:r w:rsidRPr="003C0705">
        <w:rPr>
          <w:i/>
          <w:sz w:val="30"/>
          <w:szCs w:val="30"/>
        </w:rPr>
        <w:t xml:space="preserve">25 Закона между заказчиком и участником-победителем </w:t>
      </w:r>
      <w:r w:rsidRPr="001103DD">
        <w:rPr>
          <w:i/>
          <w:sz w:val="30"/>
          <w:szCs w:val="30"/>
        </w:rPr>
        <w:t>(участником процедуры закупки из одного источника)</w:t>
      </w:r>
      <w:r>
        <w:rPr>
          <w:i/>
          <w:sz w:val="30"/>
          <w:szCs w:val="30"/>
        </w:rPr>
        <w:t xml:space="preserve"> по результатам проведенной процедуры государственной закупки </w:t>
      </w:r>
      <w:r w:rsidRPr="003C0705">
        <w:rPr>
          <w:i/>
          <w:sz w:val="30"/>
          <w:szCs w:val="30"/>
        </w:rPr>
        <w:t xml:space="preserve">заключается </w:t>
      </w:r>
      <w:r w:rsidRPr="00732E91">
        <w:rPr>
          <w:i/>
          <w:sz w:val="30"/>
          <w:szCs w:val="30"/>
          <w:u w:val="single"/>
        </w:rPr>
        <w:t>договор</w:t>
      </w:r>
      <w:r w:rsidRPr="003C0705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>При этом </w:t>
      </w:r>
      <w:r w:rsidRPr="003C0705">
        <w:rPr>
          <w:i/>
          <w:sz w:val="30"/>
          <w:szCs w:val="30"/>
        </w:rPr>
        <w:t>по результатам каждой процедуры государственной закупки составляется справка о процедуре государственной закупки (статья 29 Закона).</w:t>
      </w:r>
      <w:r>
        <w:rPr>
          <w:i/>
          <w:sz w:val="30"/>
          <w:szCs w:val="30"/>
        </w:rPr>
        <w:t xml:space="preserve"> В случаях отказа отдельных поставщиков (например, субъектов естественных монополий) от заключения новых договоров</w:t>
      </w:r>
      <w:r w:rsidR="008F249F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 xml:space="preserve">возможно заключение дополнительного соглашения (как формы договора). </w:t>
      </w:r>
      <w:proofErr w:type="gramStart"/>
      <w:r>
        <w:rPr>
          <w:i/>
          <w:sz w:val="30"/>
          <w:szCs w:val="30"/>
        </w:rPr>
        <w:t>Однако</w:t>
      </w:r>
      <w:r w:rsidRPr="003C0705">
        <w:rPr>
          <w:i/>
          <w:sz w:val="30"/>
          <w:szCs w:val="30"/>
        </w:rPr>
        <w:t xml:space="preserve"> Закон не предусматривает возможность </w:t>
      </w:r>
      <w:proofErr w:type="spellStart"/>
      <w:r w:rsidRPr="003C0705">
        <w:rPr>
          <w:i/>
          <w:sz w:val="30"/>
          <w:szCs w:val="30"/>
        </w:rPr>
        <w:t>пролонгирования</w:t>
      </w:r>
      <w:proofErr w:type="spellEnd"/>
      <w:r w:rsidRPr="003C0705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заказчиком (организатором) </w:t>
      </w:r>
      <w:r w:rsidRPr="003C0705">
        <w:rPr>
          <w:i/>
          <w:sz w:val="30"/>
          <w:szCs w:val="30"/>
        </w:rPr>
        <w:t>заключенного ранее договора без составл</w:t>
      </w:r>
      <w:r>
        <w:rPr>
          <w:i/>
          <w:sz w:val="30"/>
          <w:szCs w:val="30"/>
        </w:rPr>
        <w:t xml:space="preserve">ения дополнительного соглашения (например, при заключении договора по пункту 1 </w:t>
      </w:r>
      <w:r w:rsidRPr="003C0705">
        <w:rPr>
          <w:i/>
          <w:sz w:val="30"/>
          <w:szCs w:val="30"/>
        </w:rPr>
        <w:t>переч</w:t>
      </w:r>
      <w:r>
        <w:rPr>
          <w:i/>
          <w:sz w:val="30"/>
          <w:szCs w:val="30"/>
        </w:rPr>
        <w:t xml:space="preserve">ня </w:t>
      </w:r>
      <w:r w:rsidRPr="003C0705">
        <w:rPr>
          <w:i/>
          <w:sz w:val="30"/>
          <w:szCs w:val="30"/>
        </w:rPr>
        <w:t>случаев осуществления государственных закупок с применением процедуры закупки из одного источника</w:t>
      </w:r>
      <w:r>
        <w:rPr>
          <w:i/>
          <w:sz w:val="30"/>
          <w:szCs w:val="30"/>
        </w:rPr>
        <w:t xml:space="preserve"> (приложение 1 к Закону).</w:t>
      </w:r>
      <w:proofErr w:type="gramEnd"/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</w:t>
      </w:r>
      <w:r w:rsidRPr="00E23D91">
        <w:rPr>
          <w:sz w:val="30"/>
          <w:szCs w:val="30"/>
        </w:rPr>
        <w:t>«Дата заключения договора» (</w:t>
      </w:r>
      <w:hyperlink r:id="rId13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14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), «Дата договора» (</w:t>
      </w:r>
      <w:hyperlink r:id="rId15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zakupki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butb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 указывается дата заключения договора. При заключении дополнительного соглашения к ранее заключенному договору</w:t>
      </w:r>
      <w:r>
        <w:rPr>
          <w:sz w:val="30"/>
          <w:szCs w:val="30"/>
        </w:rPr>
        <w:t xml:space="preserve"> – дата дополнительного соглашения к договору.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«Цена договора» указывается общая стоимость закупаемых товаров, осуществляемых работ, оказываемых услуг по договору на весь срок его действия. 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Графа «Цена договора» заполняется в деноминированных белорусских рублях (буквенное обозначение </w:t>
      </w:r>
      <w:r>
        <w:rPr>
          <w:sz w:val="30"/>
          <w:szCs w:val="30"/>
          <w:lang w:val="en-US"/>
        </w:rPr>
        <w:t>BYN</w:t>
      </w:r>
      <w:r w:rsidRPr="00091D6E">
        <w:rPr>
          <w:sz w:val="30"/>
          <w:szCs w:val="30"/>
        </w:rPr>
        <w:t>)</w:t>
      </w:r>
      <w:r>
        <w:rPr>
          <w:sz w:val="30"/>
          <w:szCs w:val="30"/>
        </w:rPr>
        <w:t xml:space="preserve">, в том числе в случае заключения заказчиком договора в иностранной валюте. При этом </w:t>
      </w:r>
      <w:r>
        <w:rPr>
          <w:sz w:val="30"/>
          <w:szCs w:val="30"/>
        </w:rPr>
        <w:lastRenderedPageBreak/>
        <w:t>стоимость договора указывается в белорусских рублях по курсу иностранной вал</w:t>
      </w:r>
      <w:r w:rsidR="007044C0">
        <w:rPr>
          <w:sz w:val="30"/>
          <w:szCs w:val="30"/>
        </w:rPr>
        <w:t>юты на дату заключения договора</w:t>
      </w:r>
      <w:r>
        <w:rPr>
          <w:sz w:val="30"/>
          <w:szCs w:val="30"/>
        </w:rPr>
        <w:t>.</w:t>
      </w:r>
    </w:p>
    <w:p w:rsidR="00A778E8" w:rsidRDefault="00A778E8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Графа «Источник финансирования закупки» </w:t>
      </w:r>
      <w:r w:rsidR="00BD3F63">
        <w:rPr>
          <w:sz w:val="30"/>
          <w:szCs w:val="30"/>
        </w:rPr>
        <w:t xml:space="preserve">заполняется из раскрывающегося списка. При закупке за счет смешанного финансирования указывается </w:t>
      </w:r>
      <w:r w:rsidR="00E57DDA">
        <w:rPr>
          <w:sz w:val="30"/>
          <w:szCs w:val="30"/>
        </w:rPr>
        <w:t>основной источник финансирования.</w:t>
      </w:r>
    </w:p>
    <w:p w:rsidR="00A5132D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«Срок исполнения договора» указывается </w:t>
      </w:r>
      <w:r w:rsidR="00D238AC">
        <w:rPr>
          <w:sz w:val="30"/>
          <w:szCs w:val="30"/>
        </w:rPr>
        <w:t>конечный срок действия договора (дата по формату).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заполнения заказчиком (организатором) информации по позициям договора: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закупке одного товара (работы, услуги) в рамках процедуры закупки сведения по договору совпадут со сведениями по позиции (один целый, неделимый предмет закупки – одна позиция по договору);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закупке товаров (работ, услуг) в разрезе лотов – каждый лот будет являться отдельной позицией, по которой требуется заполнение всей совокупности сведений в отдельности по каждой позиции;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закупке нескольких товаров (работ, услуг) с одним кодом </w:t>
      </w:r>
      <w:r w:rsidRPr="00AC25AE">
        <w:rPr>
          <w:sz w:val="30"/>
          <w:szCs w:val="30"/>
        </w:rPr>
        <w:t>общегосударственного классификатора Республики Беларусь</w:t>
      </w:r>
      <w:r w:rsidR="007044C0">
        <w:rPr>
          <w:sz w:val="30"/>
          <w:szCs w:val="30"/>
        </w:rPr>
        <w:br/>
      </w:r>
      <w:r w:rsidRPr="00AC25AE">
        <w:rPr>
          <w:sz w:val="30"/>
          <w:szCs w:val="30"/>
        </w:rPr>
        <w:t>ОКРБ</w:t>
      </w:r>
      <w:r>
        <w:rPr>
          <w:sz w:val="30"/>
          <w:szCs w:val="30"/>
        </w:rPr>
        <w:t> </w:t>
      </w:r>
      <w:r w:rsidRPr="00AC25AE">
        <w:rPr>
          <w:sz w:val="30"/>
          <w:szCs w:val="30"/>
        </w:rPr>
        <w:t>007-2012 «Классификатор продукции по видам экономической деятельности»</w:t>
      </w:r>
      <w:r>
        <w:rPr>
          <w:sz w:val="30"/>
          <w:szCs w:val="30"/>
        </w:rPr>
        <w:t xml:space="preserve"> в рамках одной процедуры </w:t>
      </w:r>
      <w:r w:rsidRPr="00382FD7">
        <w:rPr>
          <w:sz w:val="30"/>
          <w:szCs w:val="30"/>
        </w:rPr>
        <w:t>закупки</w:t>
      </w:r>
      <w:r w:rsidR="00E23D91" w:rsidRPr="00382FD7">
        <w:rPr>
          <w:sz w:val="30"/>
          <w:szCs w:val="30"/>
        </w:rPr>
        <w:t xml:space="preserve"> (лота)</w:t>
      </w:r>
      <w:r w:rsidRPr="00382FD7">
        <w:rPr>
          <w:sz w:val="30"/>
          <w:szCs w:val="30"/>
        </w:rPr>
        <w:t>, но</w:t>
      </w:r>
      <w:r>
        <w:rPr>
          <w:sz w:val="30"/>
          <w:szCs w:val="30"/>
        </w:rPr>
        <w:t xml:space="preserve"> выделении данных товаров (работ, услуг) отдельными позициями в бухгалтерском учете, в том числе в товарно-транспортных накладных, заказчику (организатору) необходимо выделять данные виды товаров (работ, услуг) в отдельные позиции в рамках одного договора</w:t>
      </w:r>
      <w:proofErr w:type="gramEnd"/>
      <w:r>
        <w:rPr>
          <w:sz w:val="30"/>
          <w:szCs w:val="30"/>
        </w:rPr>
        <w:t xml:space="preserve"> и, соответственно, заполнять в полном объеме сведения по каждой позиции.</w:t>
      </w:r>
    </w:p>
    <w:p w:rsidR="00A5132D" w:rsidRPr="002D7827" w:rsidRDefault="00A5132D" w:rsidP="00A5132D">
      <w:pPr>
        <w:spacing w:line="233" w:lineRule="auto"/>
        <w:ind w:firstLine="709"/>
        <w:jc w:val="both"/>
        <w:rPr>
          <w:i/>
          <w:sz w:val="30"/>
          <w:szCs w:val="30"/>
        </w:rPr>
      </w:pPr>
      <w:r w:rsidRPr="002D7827">
        <w:rPr>
          <w:i/>
          <w:sz w:val="30"/>
          <w:szCs w:val="30"/>
        </w:rPr>
        <w:t xml:space="preserve">При этом при заполнении сведений по договорам на оказание услуг выделение позиций осуществляется в случаях, когда договор содержит различные виды услуг и когда такое выделение позиций внутри договора возможно. </w:t>
      </w:r>
    </w:p>
    <w:p w:rsidR="00A5132D" w:rsidRPr="00E23D91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Графа «Количество единиц позиции предмета договора» – общий объем закупки по позиции. </w:t>
      </w:r>
      <w:r w:rsidRPr="00E23D91">
        <w:rPr>
          <w:sz w:val="30"/>
          <w:szCs w:val="30"/>
        </w:rPr>
        <w:t>При закупке услуг, работ значение по данной графе равно единице, если закупается один вид услуг, работ.</w:t>
      </w:r>
    </w:p>
    <w:p w:rsidR="00A5132D" w:rsidRPr="00E23D91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E23D91">
        <w:rPr>
          <w:sz w:val="30"/>
          <w:szCs w:val="30"/>
        </w:rPr>
        <w:t>Графа «Цена позиции» (</w:t>
      </w:r>
      <w:hyperlink r:id="rId16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17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), «Цена позиции договора» (</w:t>
      </w:r>
      <w:hyperlink r:id="rId18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zakupki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butb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 – это общая стоимость позиции договора, исходя из всего срока действия договора.</w:t>
      </w:r>
      <w:r w:rsidR="007044C0">
        <w:rPr>
          <w:sz w:val="30"/>
          <w:szCs w:val="30"/>
        </w:rPr>
        <w:t xml:space="preserve"> </w:t>
      </w:r>
      <w:r w:rsidRPr="00E23D91">
        <w:rPr>
          <w:sz w:val="30"/>
          <w:szCs w:val="30"/>
        </w:rPr>
        <w:t xml:space="preserve">Заполняется в деноминированных белорусских рублях (буквенное обозначение </w:t>
      </w:r>
      <w:r w:rsidRPr="00E23D91">
        <w:rPr>
          <w:sz w:val="30"/>
          <w:szCs w:val="30"/>
          <w:lang w:val="en-US"/>
        </w:rPr>
        <w:t>BYN</w:t>
      </w:r>
      <w:r w:rsidRPr="00E23D91">
        <w:rPr>
          <w:sz w:val="30"/>
          <w:szCs w:val="30"/>
        </w:rPr>
        <w:t>), в том числе в случае заключения заказчиком договора в иностранной валюте. При этом цена позиции указывается в белорусских рублях по курсу иностранной валюты на дату заключения договора</w:t>
      </w:r>
      <w:r w:rsidR="007044C0">
        <w:rPr>
          <w:sz w:val="30"/>
          <w:szCs w:val="30"/>
        </w:rPr>
        <w:t>.</w:t>
      </w:r>
    </w:p>
    <w:p w:rsidR="00A5132D" w:rsidRPr="00E23D91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E23D91">
        <w:rPr>
          <w:sz w:val="30"/>
          <w:szCs w:val="30"/>
        </w:rPr>
        <w:t>В графе «Наименование единицы измерения позиции предмета договора» (</w:t>
      </w:r>
      <w:hyperlink r:id="rId19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20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) по работам указывается </w:t>
      </w:r>
      <w:proofErr w:type="gramStart"/>
      <w:r w:rsidRPr="00E23D91">
        <w:rPr>
          <w:sz w:val="30"/>
          <w:szCs w:val="30"/>
        </w:rPr>
        <w:t>–«</w:t>
      </w:r>
      <w:proofErr w:type="gramEnd"/>
      <w:r w:rsidRPr="00E23D91">
        <w:rPr>
          <w:sz w:val="30"/>
          <w:szCs w:val="30"/>
        </w:rPr>
        <w:t>раб.», по услугам – «</w:t>
      </w:r>
      <w:proofErr w:type="spellStart"/>
      <w:r w:rsidRPr="00E23D91">
        <w:rPr>
          <w:sz w:val="30"/>
          <w:szCs w:val="30"/>
        </w:rPr>
        <w:t>усл</w:t>
      </w:r>
      <w:proofErr w:type="spellEnd"/>
      <w:r w:rsidRPr="00E23D91">
        <w:rPr>
          <w:sz w:val="30"/>
          <w:szCs w:val="30"/>
        </w:rPr>
        <w:t>.».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616889">
        <w:rPr>
          <w:sz w:val="30"/>
          <w:szCs w:val="30"/>
        </w:rPr>
        <w:t>Графы «Цена (тариф) за единицу товара (работы, услуги) позиции предмета договора» (</w:t>
      </w:r>
      <w:hyperlink r:id="rId21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22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>), «Цена (тариф) за единицу позиции договора» (</w:t>
      </w:r>
      <w:hyperlink r:id="rId23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zakupki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butb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) указывается исходя из данных в договоре (спецификации). При отсутствии соответствующих </w:t>
      </w:r>
      <w:r w:rsidRPr="00E23D91">
        <w:rPr>
          <w:sz w:val="30"/>
          <w:szCs w:val="30"/>
        </w:rPr>
        <w:lastRenderedPageBreak/>
        <w:t xml:space="preserve">данных в договоре, цена за единицу позиции рассчитывается заказчиком (организатором) самостоятельно, исходя из общей стоимости позиции по договору. Графы заполняются в деноминированных белорусских рублях (буквенное обозначение </w:t>
      </w:r>
      <w:r w:rsidRPr="00E23D91">
        <w:rPr>
          <w:sz w:val="30"/>
          <w:szCs w:val="30"/>
          <w:lang w:val="en-US"/>
        </w:rPr>
        <w:t>BYN</w:t>
      </w:r>
      <w:r w:rsidRPr="00E23D91">
        <w:rPr>
          <w:sz w:val="30"/>
          <w:szCs w:val="30"/>
        </w:rPr>
        <w:t>), в том числе в</w:t>
      </w:r>
      <w:r>
        <w:rPr>
          <w:sz w:val="30"/>
          <w:szCs w:val="30"/>
        </w:rPr>
        <w:t xml:space="preserve"> случае заключения заказчиком договора в иностранной валюте.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Графы «Количество единиц позиции предмета договора (информация по исполнению договора)», «Наименование единицы измерения позиции предмета договора (информация по исполнению договора)»</w:t>
      </w:r>
      <w:r w:rsidR="007044C0">
        <w:rPr>
          <w:sz w:val="30"/>
          <w:szCs w:val="30"/>
        </w:rPr>
        <w:t>,</w:t>
      </w:r>
      <w:r>
        <w:rPr>
          <w:sz w:val="30"/>
          <w:szCs w:val="30"/>
        </w:rPr>
        <w:t xml:space="preserve"> «Цена позиции предмета договора (информация по исполнению договора)», «Иные сведения по позиции предмета договора (информация по исполнению договора)» заполняются заказчиком (организатором) по результатам исполнения договора, т.е. фактические данные.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«Иные сведения по позиции предмета договора (информация по исполнению договора)» могут указываться номера актов выполненных работ, оказанных услуг, товаросопроводительных, платежных документов и прочее.</w:t>
      </w:r>
    </w:p>
    <w:p w:rsidR="00A5132D" w:rsidRPr="00DD21A0" w:rsidRDefault="00A5132D" w:rsidP="00314700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графу «Фактическая дата исп</w:t>
      </w:r>
      <w:r w:rsidR="00CD0C3E">
        <w:rPr>
          <w:sz w:val="30"/>
          <w:szCs w:val="30"/>
        </w:rPr>
        <w:t>олнения договора» вносится дата</w:t>
      </w:r>
      <w:r>
        <w:rPr>
          <w:sz w:val="30"/>
          <w:szCs w:val="30"/>
        </w:rPr>
        <w:t xml:space="preserve"> </w:t>
      </w:r>
      <w:r w:rsidR="00CD0C3E">
        <w:rPr>
          <w:sz w:val="30"/>
          <w:szCs w:val="30"/>
        </w:rPr>
        <w:t>исполнения</w:t>
      </w:r>
      <w:r w:rsidRPr="00DD21A0">
        <w:rPr>
          <w:sz w:val="30"/>
          <w:szCs w:val="30"/>
        </w:rPr>
        <w:t xml:space="preserve"> последне</w:t>
      </w:r>
      <w:r w:rsidR="00CD0C3E">
        <w:rPr>
          <w:sz w:val="30"/>
          <w:szCs w:val="30"/>
        </w:rPr>
        <w:t>го</w:t>
      </w:r>
      <w:r w:rsidRPr="00DD21A0">
        <w:rPr>
          <w:sz w:val="30"/>
          <w:szCs w:val="30"/>
        </w:rPr>
        <w:t xml:space="preserve"> из обязательств по договору (оплата, поставка</w:t>
      </w:r>
      <w:r w:rsidR="00314700">
        <w:rPr>
          <w:sz w:val="30"/>
          <w:szCs w:val="30"/>
        </w:rPr>
        <w:t>,</w:t>
      </w:r>
      <w:r>
        <w:rPr>
          <w:sz w:val="30"/>
          <w:szCs w:val="30"/>
        </w:rPr>
        <w:t xml:space="preserve"> подписание акта выполненных работ, оказанных услуг</w:t>
      </w:r>
      <w:r w:rsidRPr="00DD21A0">
        <w:rPr>
          <w:sz w:val="30"/>
          <w:szCs w:val="30"/>
        </w:rPr>
        <w:t xml:space="preserve"> либо иное).</w:t>
      </w:r>
    </w:p>
    <w:p w:rsidR="00A5132D" w:rsidRPr="00DD21A0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графу «Д</w:t>
      </w:r>
      <w:r w:rsidRPr="00DD21A0">
        <w:rPr>
          <w:sz w:val="30"/>
          <w:szCs w:val="30"/>
        </w:rPr>
        <w:t xml:space="preserve">ата прекращения обязательств по исполнению договора» вносится дата прекращения обязательств по договору, за исключением прекращения обязательств </w:t>
      </w:r>
      <w:r>
        <w:rPr>
          <w:sz w:val="30"/>
          <w:szCs w:val="30"/>
        </w:rPr>
        <w:t xml:space="preserve">их </w:t>
      </w:r>
      <w:r w:rsidRPr="00DD21A0">
        <w:rPr>
          <w:sz w:val="30"/>
          <w:szCs w:val="30"/>
        </w:rPr>
        <w:t>исполнением (расторжение договора по причине неисполнения либо ненадлежащего исполнения поставщиком (подрядчиком, исполнителем), данные об отказе участника от заключения договора, иные обстоятельства</w:t>
      </w:r>
      <w:r w:rsidR="00E23D91">
        <w:rPr>
          <w:sz w:val="30"/>
          <w:szCs w:val="30"/>
        </w:rPr>
        <w:t>)</w:t>
      </w:r>
      <w:r w:rsidRPr="00DD21A0">
        <w:rPr>
          <w:sz w:val="30"/>
          <w:szCs w:val="30"/>
        </w:rPr>
        <w:t xml:space="preserve">. </w:t>
      </w:r>
    </w:p>
    <w:p w:rsidR="00A5132D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D21A0">
        <w:rPr>
          <w:sz w:val="30"/>
          <w:szCs w:val="30"/>
        </w:rPr>
        <w:t>При этом в графе «</w:t>
      </w:r>
      <w:r>
        <w:rPr>
          <w:sz w:val="30"/>
          <w:szCs w:val="30"/>
        </w:rPr>
        <w:t>О</w:t>
      </w:r>
      <w:r w:rsidRPr="00DD21A0">
        <w:rPr>
          <w:sz w:val="30"/>
          <w:szCs w:val="30"/>
        </w:rPr>
        <w:t>снование прекращения обязательств по договору» приводится пояснение причины неисполнения</w:t>
      </w:r>
      <w:r>
        <w:rPr>
          <w:sz w:val="30"/>
          <w:szCs w:val="30"/>
        </w:rPr>
        <w:t>, расторжения договора</w:t>
      </w:r>
      <w:r w:rsidRPr="00DD21A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5132D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«Информация об изменениях и дополнениях договора» указываются сведения об изменениях и дополнениях договора, произведенные в течение срока его действия.</w:t>
      </w:r>
    </w:p>
    <w:p w:rsidR="00A5132D" w:rsidRPr="00E23D91" w:rsidRDefault="00A5132D" w:rsidP="00A51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709"/>
        <w:jc w:val="both"/>
        <w:rPr>
          <w:sz w:val="30"/>
          <w:szCs w:val="30"/>
        </w:rPr>
      </w:pPr>
      <w:r w:rsidRPr="00E23D91">
        <w:rPr>
          <w:sz w:val="30"/>
          <w:szCs w:val="30"/>
        </w:rPr>
        <w:t>В графе «Основание применения закупки из одного источника» (</w:t>
      </w:r>
      <w:hyperlink r:id="rId24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) указывается основание проведенной процедуры закупки из одного источника согласно перечню случаев осуществления государственных закупок с применением процедуры закупки из одного источника согласно приложению к Закону (номер пункта). </w:t>
      </w:r>
    </w:p>
    <w:p w:rsidR="00A5132D" w:rsidRPr="00E23D91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E23D91">
        <w:rPr>
          <w:sz w:val="30"/>
          <w:szCs w:val="30"/>
        </w:rPr>
        <w:t xml:space="preserve">Алгоритм заполнения сведений о договорах на </w:t>
      </w:r>
      <w:hyperlink r:id="rId25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icetrade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, </w:t>
      </w:r>
      <w:hyperlink r:id="rId26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goszakupki</w:t>
        </w:r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 и </w:t>
      </w:r>
      <w:hyperlink r:id="rId27" w:history="1">
        <w:r w:rsidRPr="00E23D91">
          <w:rPr>
            <w:rStyle w:val="ab"/>
            <w:sz w:val="30"/>
            <w:szCs w:val="30"/>
            <w:u w:val="none"/>
            <w:lang w:val="en-US"/>
          </w:rPr>
          <w:t>www</w:t>
        </w:r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zakupki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proofErr w:type="spellStart"/>
        <w:r w:rsidRPr="00E23D91">
          <w:rPr>
            <w:rStyle w:val="ab"/>
            <w:sz w:val="30"/>
            <w:szCs w:val="30"/>
            <w:u w:val="none"/>
            <w:lang w:val="en-US"/>
          </w:rPr>
          <w:t>butb</w:t>
        </w:r>
        <w:proofErr w:type="spellEnd"/>
        <w:r w:rsidRPr="00E23D91">
          <w:rPr>
            <w:rStyle w:val="ab"/>
            <w:sz w:val="30"/>
            <w:szCs w:val="30"/>
            <w:u w:val="none"/>
          </w:rPr>
          <w:t>.</w:t>
        </w:r>
        <w:r w:rsidRPr="00E23D91">
          <w:rPr>
            <w:rStyle w:val="ab"/>
            <w:sz w:val="30"/>
            <w:szCs w:val="30"/>
            <w:u w:val="none"/>
            <w:lang w:val="en-US"/>
          </w:rPr>
          <w:t>by</w:t>
        </w:r>
      </w:hyperlink>
      <w:r w:rsidRPr="00E23D91">
        <w:rPr>
          <w:sz w:val="30"/>
          <w:szCs w:val="30"/>
        </w:rPr>
        <w:t xml:space="preserve"> прилагается.</w:t>
      </w:r>
    </w:p>
    <w:p w:rsidR="00A5132D" w:rsidRDefault="00A5132D" w:rsidP="00A5132D">
      <w:pPr>
        <w:spacing w:line="233" w:lineRule="auto"/>
        <w:jc w:val="both"/>
        <w:rPr>
          <w:sz w:val="30"/>
          <w:szCs w:val="30"/>
        </w:rPr>
      </w:pPr>
    </w:p>
    <w:p w:rsidR="00A5132D" w:rsidRDefault="00A5132D" w:rsidP="00A5132D">
      <w:pPr>
        <w:spacing w:line="233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в 1 экз. на </w:t>
      </w:r>
      <w:r w:rsidR="001C2B8C">
        <w:rPr>
          <w:sz w:val="30"/>
          <w:szCs w:val="30"/>
        </w:rPr>
        <w:t>4</w:t>
      </w:r>
      <w:r>
        <w:rPr>
          <w:sz w:val="30"/>
          <w:szCs w:val="30"/>
        </w:rPr>
        <w:t xml:space="preserve"> л.</w:t>
      </w:r>
    </w:p>
    <w:p w:rsidR="00A5132D" w:rsidRDefault="00A5132D" w:rsidP="00314700">
      <w:pPr>
        <w:ind w:firstLine="709"/>
        <w:jc w:val="both"/>
        <w:rPr>
          <w:sz w:val="30"/>
          <w:szCs w:val="30"/>
        </w:rPr>
      </w:pPr>
    </w:p>
    <w:p w:rsidR="00A5132D" w:rsidRDefault="00A5132D" w:rsidP="00A5132D">
      <w:pPr>
        <w:jc w:val="both"/>
        <w:rPr>
          <w:sz w:val="30"/>
          <w:szCs w:val="30"/>
        </w:rPr>
      </w:pPr>
      <w:r w:rsidRPr="00A56A4A"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82FD7">
        <w:rPr>
          <w:sz w:val="30"/>
          <w:szCs w:val="30"/>
        </w:rPr>
        <w:tab/>
      </w:r>
      <w:r w:rsidR="00382FD7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1470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</w:t>
      </w:r>
      <w:proofErr w:type="spellStart"/>
      <w:r w:rsidR="00382FD7">
        <w:rPr>
          <w:sz w:val="30"/>
          <w:szCs w:val="30"/>
        </w:rPr>
        <w:t>В.В.Колтович</w:t>
      </w:r>
      <w:proofErr w:type="spellEnd"/>
    </w:p>
    <w:p w:rsidR="00314700" w:rsidRDefault="00314700" w:rsidP="00A5132D">
      <w:pPr>
        <w:jc w:val="both"/>
        <w:rPr>
          <w:sz w:val="18"/>
          <w:szCs w:val="18"/>
        </w:rPr>
      </w:pPr>
    </w:p>
    <w:p w:rsidR="00CA7FA6" w:rsidRPr="00CA7FA6" w:rsidRDefault="00077532" w:rsidP="00314700">
      <w:pPr>
        <w:jc w:val="both"/>
        <w:rPr>
          <w:sz w:val="18"/>
          <w:szCs w:val="18"/>
        </w:rPr>
      </w:pPr>
      <w:r w:rsidRPr="00077532">
        <w:rPr>
          <w:sz w:val="18"/>
          <w:szCs w:val="18"/>
        </w:rPr>
        <w:t xml:space="preserve">14 </w:t>
      </w:r>
      <w:proofErr w:type="spellStart"/>
      <w:r w:rsidRPr="00077532">
        <w:rPr>
          <w:sz w:val="18"/>
          <w:szCs w:val="18"/>
        </w:rPr>
        <w:t>Карпович</w:t>
      </w:r>
      <w:proofErr w:type="spellEnd"/>
      <w:r w:rsidRPr="00077532">
        <w:rPr>
          <w:sz w:val="18"/>
          <w:szCs w:val="18"/>
        </w:rPr>
        <w:t xml:space="preserve"> 3275358</w:t>
      </w:r>
    </w:p>
    <w:sectPr w:rsidR="00CA7FA6" w:rsidRPr="00CA7FA6" w:rsidSect="00CD0C3E">
      <w:headerReference w:type="default" r:id="rId28"/>
      <w:pgSz w:w="11906" w:h="16838"/>
      <w:pgMar w:top="709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A" w:rsidRDefault="00D31CEA" w:rsidP="00CF6035">
      <w:r>
        <w:separator/>
      </w:r>
    </w:p>
  </w:endnote>
  <w:endnote w:type="continuationSeparator" w:id="0">
    <w:p w:rsidR="00D31CEA" w:rsidRDefault="00D31CEA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A" w:rsidRDefault="00D31CEA" w:rsidP="00CF6035">
      <w:r>
        <w:separator/>
      </w:r>
    </w:p>
  </w:footnote>
  <w:footnote w:type="continuationSeparator" w:id="0">
    <w:p w:rsidR="00D31CEA" w:rsidRDefault="00D31CEA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35" w:rsidRDefault="00FE1600">
    <w:pPr>
      <w:pStyle w:val="a6"/>
      <w:jc w:val="center"/>
    </w:pPr>
    <w:r>
      <w:fldChar w:fldCharType="begin"/>
    </w:r>
    <w:r w:rsidR="00CF6035">
      <w:instrText>PAGE   \* MERGEFORMAT</w:instrText>
    </w:r>
    <w:r>
      <w:fldChar w:fldCharType="separate"/>
    </w:r>
    <w:r w:rsidR="00233398">
      <w:rPr>
        <w:noProof/>
      </w:rPr>
      <w:t>4</w:t>
    </w:r>
    <w:r>
      <w:fldChar w:fldCharType="end"/>
    </w:r>
  </w:p>
  <w:p w:rsidR="00CF6035" w:rsidRDefault="00CF60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1108A"/>
    <w:rsid w:val="0001222B"/>
    <w:rsid w:val="000125A6"/>
    <w:rsid w:val="0001446A"/>
    <w:rsid w:val="00016841"/>
    <w:rsid w:val="0002207C"/>
    <w:rsid w:val="00022B6B"/>
    <w:rsid w:val="000312FF"/>
    <w:rsid w:val="00040BB7"/>
    <w:rsid w:val="000511FB"/>
    <w:rsid w:val="00060431"/>
    <w:rsid w:val="000625C3"/>
    <w:rsid w:val="000627B2"/>
    <w:rsid w:val="000646B7"/>
    <w:rsid w:val="000758A6"/>
    <w:rsid w:val="00077532"/>
    <w:rsid w:val="000836D7"/>
    <w:rsid w:val="000841FC"/>
    <w:rsid w:val="00095266"/>
    <w:rsid w:val="000D031E"/>
    <w:rsid w:val="000D16E3"/>
    <w:rsid w:val="000D5FA5"/>
    <w:rsid w:val="000E161D"/>
    <w:rsid w:val="000F1483"/>
    <w:rsid w:val="00120C19"/>
    <w:rsid w:val="0012149E"/>
    <w:rsid w:val="00135E5C"/>
    <w:rsid w:val="00135FD8"/>
    <w:rsid w:val="00136447"/>
    <w:rsid w:val="001652E5"/>
    <w:rsid w:val="00181D9C"/>
    <w:rsid w:val="00191561"/>
    <w:rsid w:val="001970D0"/>
    <w:rsid w:val="001A0D09"/>
    <w:rsid w:val="001A302A"/>
    <w:rsid w:val="001A384F"/>
    <w:rsid w:val="001A5CB2"/>
    <w:rsid w:val="001B1862"/>
    <w:rsid w:val="001C2B8C"/>
    <w:rsid w:val="001C4428"/>
    <w:rsid w:val="001C4DAF"/>
    <w:rsid w:val="001E0EC6"/>
    <w:rsid w:val="001E5197"/>
    <w:rsid w:val="001E5EFC"/>
    <w:rsid w:val="001F136B"/>
    <w:rsid w:val="001F28F6"/>
    <w:rsid w:val="001F3F52"/>
    <w:rsid w:val="0020228E"/>
    <w:rsid w:val="00222ED3"/>
    <w:rsid w:val="002248D2"/>
    <w:rsid w:val="002252E2"/>
    <w:rsid w:val="00226D90"/>
    <w:rsid w:val="00232549"/>
    <w:rsid w:val="00233398"/>
    <w:rsid w:val="00236802"/>
    <w:rsid w:val="00236A38"/>
    <w:rsid w:val="00236F9E"/>
    <w:rsid w:val="00246235"/>
    <w:rsid w:val="00251390"/>
    <w:rsid w:val="002614CD"/>
    <w:rsid w:val="002763A4"/>
    <w:rsid w:val="002813C0"/>
    <w:rsid w:val="00282393"/>
    <w:rsid w:val="002824FC"/>
    <w:rsid w:val="002A18DC"/>
    <w:rsid w:val="002B05EE"/>
    <w:rsid w:val="002B2EF1"/>
    <w:rsid w:val="002B2F2E"/>
    <w:rsid w:val="002B54A5"/>
    <w:rsid w:val="002C79B1"/>
    <w:rsid w:val="002D51AE"/>
    <w:rsid w:val="002F0AC7"/>
    <w:rsid w:val="002F594F"/>
    <w:rsid w:val="002F7AA0"/>
    <w:rsid w:val="00303182"/>
    <w:rsid w:val="00314700"/>
    <w:rsid w:val="00314EE5"/>
    <w:rsid w:val="00315A38"/>
    <w:rsid w:val="003217A1"/>
    <w:rsid w:val="00323A46"/>
    <w:rsid w:val="003249E5"/>
    <w:rsid w:val="00335EB2"/>
    <w:rsid w:val="003377F8"/>
    <w:rsid w:val="00345B5C"/>
    <w:rsid w:val="00357F7E"/>
    <w:rsid w:val="003829D4"/>
    <w:rsid w:val="00382FD7"/>
    <w:rsid w:val="003847C6"/>
    <w:rsid w:val="00387A30"/>
    <w:rsid w:val="003A19B1"/>
    <w:rsid w:val="003A6AE8"/>
    <w:rsid w:val="003B673C"/>
    <w:rsid w:val="003D1746"/>
    <w:rsid w:val="003D4AA5"/>
    <w:rsid w:val="003F5119"/>
    <w:rsid w:val="003F6C1D"/>
    <w:rsid w:val="003F789C"/>
    <w:rsid w:val="00412B12"/>
    <w:rsid w:val="00425930"/>
    <w:rsid w:val="004302C7"/>
    <w:rsid w:val="00430CE8"/>
    <w:rsid w:val="0043293D"/>
    <w:rsid w:val="00433D1B"/>
    <w:rsid w:val="00435AB3"/>
    <w:rsid w:val="004404D0"/>
    <w:rsid w:val="00445C96"/>
    <w:rsid w:val="00465129"/>
    <w:rsid w:val="004739AA"/>
    <w:rsid w:val="00476171"/>
    <w:rsid w:val="004801C2"/>
    <w:rsid w:val="0048039C"/>
    <w:rsid w:val="004A151A"/>
    <w:rsid w:val="004A7DC4"/>
    <w:rsid w:val="004C68C2"/>
    <w:rsid w:val="004D4794"/>
    <w:rsid w:val="004E2CAF"/>
    <w:rsid w:val="004E42FC"/>
    <w:rsid w:val="004E6D06"/>
    <w:rsid w:val="004F16C4"/>
    <w:rsid w:val="004F5E0B"/>
    <w:rsid w:val="004F7C56"/>
    <w:rsid w:val="00502DBE"/>
    <w:rsid w:val="00505DDD"/>
    <w:rsid w:val="0051229F"/>
    <w:rsid w:val="00514547"/>
    <w:rsid w:val="0051697A"/>
    <w:rsid w:val="00521199"/>
    <w:rsid w:val="005234A5"/>
    <w:rsid w:val="00530A3C"/>
    <w:rsid w:val="00532EDD"/>
    <w:rsid w:val="005409C7"/>
    <w:rsid w:val="00544C61"/>
    <w:rsid w:val="0055432E"/>
    <w:rsid w:val="00561264"/>
    <w:rsid w:val="0056585E"/>
    <w:rsid w:val="005935EA"/>
    <w:rsid w:val="005A4664"/>
    <w:rsid w:val="005A76D5"/>
    <w:rsid w:val="005B0331"/>
    <w:rsid w:val="005B1D42"/>
    <w:rsid w:val="005C6653"/>
    <w:rsid w:val="005E32BF"/>
    <w:rsid w:val="005F0A35"/>
    <w:rsid w:val="005F1AD5"/>
    <w:rsid w:val="005F5CCB"/>
    <w:rsid w:val="005F7B56"/>
    <w:rsid w:val="0060100F"/>
    <w:rsid w:val="00602DDB"/>
    <w:rsid w:val="00606F50"/>
    <w:rsid w:val="00610C76"/>
    <w:rsid w:val="006429C0"/>
    <w:rsid w:val="0064369A"/>
    <w:rsid w:val="0065009D"/>
    <w:rsid w:val="006511DA"/>
    <w:rsid w:val="006525CB"/>
    <w:rsid w:val="00665CD5"/>
    <w:rsid w:val="00665FB4"/>
    <w:rsid w:val="006677DD"/>
    <w:rsid w:val="00674BDE"/>
    <w:rsid w:val="006918F2"/>
    <w:rsid w:val="00692292"/>
    <w:rsid w:val="0069603B"/>
    <w:rsid w:val="006A2D06"/>
    <w:rsid w:val="006A5EE9"/>
    <w:rsid w:val="006A78E4"/>
    <w:rsid w:val="006D5E7C"/>
    <w:rsid w:val="006D77B5"/>
    <w:rsid w:val="006E596D"/>
    <w:rsid w:val="006E796D"/>
    <w:rsid w:val="006E79BB"/>
    <w:rsid w:val="00700C78"/>
    <w:rsid w:val="0070180F"/>
    <w:rsid w:val="007044C0"/>
    <w:rsid w:val="007055FC"/>
    <w:rsid w:val="00716BA6"/>
    <w:rsid w:val="00740D97"/>
    <w:rsid w:val="00743C10"/>
    <w:rsid w:val="00747A56"/>
    <w:rsid w:val="00750FB3"/>
    <w:rsid w:val="00763F1B"/>
    <w:rsid w:val="00766DF5"/>
    <w:rsid w:val="0078187A"/>
    <w:rsid w:val="00785037"/>
    <w:rsid w:val="007928D1"/>
    <w:rsid w:val="0079619E"/>
    <w:rsid w:val="007A20C5"/>
    <w:rsid w:val="007A3ABD"/>
    <w:rsid w:val="007B0D6D"/>
    <w:rsid w:val="007B2DC2"/>
    <w:rsid w:val="007B7B42"/>
    <w:rsid w:val="007C401E"/>
    <w:rsid w:val="007D0410"/>
    <w:rsid w:val="007D1831"/>
    <w:rsid w:val="007D5F20"/>
    <w:rsid w:val="007E1CDA"/>
    <w:rsid w:val="007E7401"/>
    <w:rsid w:val="007F3AC4"/>
    <w:rsid w:val="00814974"/>
    <w:rsid w:val="008219E2"/>
    <w:rsid w:val="008346B3"/>
    <w:rsid w:val="00851781"/>
    <w:rsid w:val="00854140"/>
    <w:rsid w:val="0085422C"/>
    <w:rsid w:val="00864EAB"/>
    <w:rsid w:val="008659D5"/>
    <w:rsid w:val="0087720D"/>
    <w:rsid w:val="00893FC7"/>
    <w:rsid w:val="008976FA"/>
    <w:rsid w:val="008A2E0D"/>
    <w:rsid w:val="008B1563"/>
    <w:rsid w:val="008B157E"/>
    <w:rsid w:val="008B405C"/>
    <w:rsid w:val="008C275C"/>
    <w:rsid w:val="008D54CC"/>
    <w:rsid w:val="008E36D3"/>
    <w:rsid w:val="008E7428"/>
    <w:rsid w:val="008F249F"/>
    <w:rsid w:val="008F621D"/>
    <w:rsid w:val="008F65DE"/>
    <w:rsid w:val="009008FD"/>
    <w:rsid w:val="00902D87"/>
    <w:rsid w:val="009053A3"/>
    <w:rsid w:val="00905AC9"/>
    <w:rsid w:val="00907C54"/>
    <w:rsid w:val="00911D32"/>
    <w:rsid w:val="00936DDC"/>
    <w:rsid w:val="0094468C"/>
    <w:rsid w:val="00962A53"/>
    <w:rsid w:val="009634B5"/>
    <w:rsid w:val="009639E6"/>
    <w:rsid w:val="00965EBF"/>
    <w:rsid w:val="00972322"/>
    <w:rsid w:val="00975087"/>
    <w:rsid w:val="009811AC"/>
    <w:rsid w:val="00981F36"/>
    <w:rsid w:val="00982E3B"/>
    <w:rsid w:val="009831E4"/>
    <w:rsid w:val="00995D2D"/>
    <w:rsid w:val="009C6190"/>
    <w:rsid w:val="009D473E"/>
    <w:rsid w:val="009D4B08"/>
    <w:rsid w:val="009D65B6"/>
    <w:rsid w:val="009E07D5"/>
    <w:rsid w:val="009E3119"/>
    <w:rsid w:val="009E31C2"/>
    <w:rsid w:val="009F26BE"/>
    <w:rsid w:val="009F4F46"/>
    <w:rsid w:val="00A00F75"/>
    <w:rsid w:val="00A01CD1"/>
    <w:rsid w:val="00A145A5"/>
    <w:rsid w:val="00A15C12"/>
    <w:rsid w:val="00A211BB"/>
    <w:rsid w:val="00A2580E"/>
    <w:rsid w:val="00A30148"/>
    <w:rsid w:val="00A30759"/>
    <w:rsid w:val="00A50D3E"/>
    <w:rsid w:val="00A5132D"/>
    <w:rsid w:val="00A564E3"/>
    <w:rsid w:val="00A718BA"/>
    <w:rsid w:val="00A778E8"/>
    <w:rsid w:val="00A8247D"/>
    <w:rsid w:val="00AA2127"/>
    <w:rsid w:val="00AA5C7F"/>
    <w:rsid w:val="00AA63E1"/>
    <w:rsid w:val="00AB7E8A"/>
    <w:rsid w:val="00AC1399"/>
    <w:rsid w:val="00AD0167"/>
    <w:rsid w:val="00AE07E9"/>
    <w:rsid w:val="00AE42C5"/>
    <w:rsid w:val="00AE5EC0"/>
    <w:rsid w:val="00AE64EA"/>
    <w:rsid w:val="00AE7A1B"/>
    <w:rsid w:val="00AF7727"/>
    <w:rsid w:val="00B02104"/>
    <w:rsid w:val="00B135ED"/>
    <w:rsid w:val="00B1623C"/>
    <w:rsid w:val="00B20C3B"/>
    <w:rsid w:val="00B21E70"/>
    <w:rsid w:val="00B23CA7"/>
    <w:rsid w:val="00B337FE"/>
    <w:rsid w:val="00B33972"/>
    <w:rsid w:val="00B406B9"/>
    <w:rsid w:val="00B44272"/>
    <w:rsid w:val="00B671EC"/>
    <w:rsid w:val="00B75991"/>
    <w:rsid w:val="00B76E7C"/>
    <w:rsid w:val="00B909AD"/>
    <w:rsid w:val="00B91C15"/>
    <w:rsid w:val="00B921AF"/>
    <w:rsid w:val="00B97EC4"/>
    <w:rsid w:val="00BA74D9"/>
    <w:rsid w:val="00BC51B2"/>
    <w:rsid w:val="00BC6301"/>
    <w:rsid w:val="00BD09AB"/>
    <w:rsid w:val="00BD3F63"/>
    <w:rsid w:val="00BE2981"/>
    <w:rsid w:val="00BE3537"/>
    <w:rsid w:val="00BE38F5"/>
    <w:rsid w:val="00BE4535"/>
    <w:rsid w:val="00BF2182"/>
    <w:rsid w:val="00C03D13"/>
    <w:rsid w:val="00C04A2E"/>
    <w:rsid w:val="00C06575"/>
    <w:rsid w:val="00C174A7"/>
    <w:rsid w:val="00C26D2C"/>
    <w:rsid w:val="00C27BAB"/>
    <w:rsid w:val="00C37079"/>
    <w:rsid w:val="00C423BA"/>
    <w:rsid w:val="00C439C0"/>
    <w:rsid w:val="00C45340"/>
    <w:rsid w:val="00C47163"/>
    <w:rsid w:val="00C47693"/>
    <w:rsid w:val="00C57333"/>
    <w:rsid w:val="00C626B2"/>
    <w:rsid w:val="00C6576F"/>
    <w:rsid w:val="00C755AE"/>
    <w:rsid w:val="00C876CE"/>
    <w:rsid w:val="00C87ABB"/>
    <w:rsid w:val="00C9676F"/>
    <w:rsid w:val="00CA0E5A"/>
    <w:rsid w:val="00CA2B80"/>
    <w:rsid w:val="00CA7FA6"/>
    <w:rsid w:val="00CB40AE"/>
    <w:rsid w:val="00CC1258"/>
    <w:rsid w:val="00CC210C"/>
    <w:rsid w:val="00CC5829"/>
    <w:rsid w:val="00CC5D8A"/>
    <w:rsid w:val="00CD0C3E"/>
    <w:rsid w:val="00CD5A50"/>
    <w:rsid w:val="00CD6B3E"/>
    <w:rsid w:val="00CE0CC6"/>
    <w:rsid w:val="00CF146B"/>
    <w:rsid w:val="00CF502B"/>
    <w:rsid w:val="00CF6035"/>
    <w:rsid w:val="00CF79C3"/>
    <w:rsid w:val="00D01A92"/>
    <w:rsid w:val="00D0377B"/>
    <w:rsid w:val="00D11D33"/>
    <w:rsid w:val="00D135D2"/>
    <w:rsid w:val="00D14368"/>
    <w:rsid w:val="00D2138F"/>
    <w:rsid w:val="00D238AC"/>
    <w:rsid w:val="00D31CEA"/>
    <w:rsid w:val="00D4691C"/>
    <w:rsid w:val="00D61636"/>
    <w:rsid w:val="00D641DC"/>
    <w:rsid w:val="00D64D8A"/>
    <w:rsid w:val="00D8334A"/>
    <w:rsid w:val="00D912EC"/>
    <w:rsid w:val="00DA06FB"/>
    <w:rsid w:val="00DA75B6"/>
    <w:rsid w:val="00DA79EF"/>
    <w:rsid w:val="00DB712C"/>
    <w:rsid w:val="00DB71F4"/>
    <w:rsid w:val="00DC1FF7"/>
    <w:rsid w:val="00DC5BA4"/>
    <w:rsid w:val="00DD094B"/>
    <w:rsid w:val="00DD3D6C"/>
    <w:rsid w:val="00DD4DD4"/>
    <w:rsid w:val="00DE00E0"/>
    <w:rsid w:val="00DE1B05"/>
    <w:rsid w:val="00DE46F7"/>
    <w:rsid w:val="00E00243"/>
    <w:rsid w:val="00E01168"/>
    <w:rsid w:val="00E02B32"/>
    <w:rsid w:val="00E0640C"/>
    <w:rsid w:val="00E23D91"/>
    <w:rsid w:val="00E436FE"/>
    <w:rsid w:val="00E4616E"/>
    <w:rsid w:val="00E46731"/>
    <w:rsid w:val="00E51A6B"/>
    <w:rsid w:val="00E5487A"/>
    <w:rsid w:val="00E57DDA"/>
    <w:rsid w:val="00E60410"/>
    <w:rsid w:val="00E631D3"/>
    <w:rsid w:val="00E66786"/>
    <w:rsid w:val="00E705FE"/>
    <w:rsid w:val="00E734E1"/>
    <w:rsid w:val="00E87976"/>
    <w:rsid w:val="00E96020"/>
    <w:rsid w:val="00E96A6C"/>
    <w:rsid w:val="00EA2BB9"/>
    <w:rsid w:val="00EA6326"/>
    <w:rsid w:val="00EB5EB8"/>
    <w:rsid w:val="00EB7B27"/>
    <w:rsid w:val="00EC182C"/>
    <w:rsid w:val="00EC1AA4"/>
    <w:rsid w:val="00EC2681"/>
    <w:rsid w:val="00ED170D"/>
    <w:rsid w:val="00ED6E47"/>
    <w:rsid w:val="00EE1310"/>
    <w:rsid w:val="00EE1584"/>
    <w:rsid w:val="00EE1B94"/>
    <w:rsid w:val="00EE358D"/>
    <w:rsid w:val="00F01076"/>
    <w:rsid w:val="00F03395"/>
    <w:rsid w:val="00F11810"/>
    <w:rsid w:val="00F12C61"/>
    <w:rsid w:val="00F330F9"/>
    <w:rsid w:val="00F33DB6"/>
    <w:rsid w:val="00F3513C"/>
    <w:rsid w:val="00F3755B"/>
    <w:rsid w:val="00F522A2"/>
    <w:rsid w:val="00F75300"/>
    <w:rsid w:val="00F82111"/>
    <w:rsid w:val="00F8430F"/>
    <w:rsid w:val="00F85236"/>
    <w:rsid w:val="00FB2036"/>
    <w:rsid w:val="00FC6A7A"/>
    <w:rsid w:val="00FD1599"/>
    <w:rsid w:val="00FD3FEE"/>
    <w:rsid w:val="00FE1600"/>
    <w:rsid w:val="00FE7F3C"/>
    <w:rsid w:val="00FF1B84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upki.by" TargetMode="External"/><Relationship Id="rId13" Type="http://schemas.openxmlformats.org/officeDocument/2006/relationships/hyperlink" Target="http://www.icetrade.by" TargetMode="External"/><Relationship Id="rId18" Type="http://schemas.openxmlformats.org/officeDocument/2006/relationships/hyperlink" Target="http://www.zakupki.butb.by" TargetMode="External"/><Relationship Id="rId26" Type="http://schemas.openxmlformats.org/officeDocument/2006/relationships/hyperlink" Target="http://www.goszakupki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cetrade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butb.by" TargetMode="External"/><Relationship Id="rId17" Type="http://schemas.openxmlformats.org/officeDocument/2006/relationships/hyperlink" Target="http://www.goszakupki.by" TargetMode="External"/><Relationship Id="rId25" Type="http://schemas.openxmlformats.org/officeDocument/2006/relationships/hyperlink" Target="http://www.icetrade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trade.by" TargetMode="External"/><Relationship Id="rId20" Type="http://schemas.openxmlformats.org/officeDocument/2006/relationships/hyperlink" Target="http://www.goszakupki.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zakupki.by" TargetMode="External"/><Relationship Id="rId24" Type="http://schemas.openxmlformats.org/officeDocument/2006/relationships/hyperlink" Target="http://www.icetrade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butb.by" TargetMode="External"/><Relationship Id="rId23" Type="http://schemas.openxmlformats.org/officeDocument/2006/relationships/hyperlink" Target="http://www.zakupki.butb.b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cetrade.by" TargetMode="External"/><Relationship Id="rId19" Type="http://schemas.openxmlformats.org/officeDocument/2006/relationships/hyperlink" Target="http://www.icetrade.b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6BC0A4C326FDAD65405A8D9682044FE69CE2A61FE5CF571CED7B39A6636820ADA576B0EE21BE4EF3200DEL721P" TargetMode="External"/><Relationship Id="rId14" Type="http://schemas.openxmlformats.org/officeDocument/2006/relationships/hyperlink" Target="http://www.goszakupki.by" TargetMode="External"/><Relationship Id="rId22" Type="http://schemas.openxmlformats.org/officeDocument/2006/relationships/hyperlink" Target="http://www.goszakupki.by" TargetMode="External"/><Relationship Id="rId27" Type="http://schemas.openxmlformats.org/officeDocument/2006/relationships/hyperlink" Target="http://www.zakupki.butb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6DE2-06BD-4C7E-BACE-0C9D0F4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1179</Words>
  <Characters>9648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Пользователь</cp:lastModifiedBy>
  <cp:revision>10</cp:revision>
  <cp:lastPrinted>2017-03-20T12:08:00Z</cp:lastPrinted>
  <dcterms:created xsi:type="dcterms:W3CDTF">2017-03-17T14:21:00Z</dcterms:created>
  <dcterms:modified xsi:type="dcterms:W3CDTF">2017-03-24T15:22:00Z</dcterms:modified>
</cp:coreProperties>
</file>