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1D" w:rsidRDefault="001D7B1D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1D7B1D" w:rsidRDefault="001D7B1D">
      <w:pPr>
        <w:pStyle w:val="newncpi"/>
        <w:ind w:firstLine="0"/>
        <w:jc w:val="center"/>
      </w:pPr>
      <w:r>
        <w:rPr>
          <w:rStyle w:val="datepr"/>
        </w:rPr>
        <w:t>7 февраля 2019 г.</w:t>
      </w:r>
      <w:r>
        <w:rPr>
          <w:rStyle w:val="number"/>
        </w:rPr>
        <w:t xml:space="preserve"> № 40</w:t>
      </w:r>
    </w:p>
    <w:p w:rsidR="001D7B1D" w:rsidRDefault="001D7B1D">
      <w:pPr>
        <w:pStyle w:val="titlencpi"/>
      </w:pPr>
      <w:r>
        <w:t>О государственных закупках медицинских изделий, лекарственных средств и лечебного питания</w:t>
      </w:r>
    </w:p>
    <w:p w:rsidR="001D7B1D" w:rsidRDefault="001D7B1D">
      <w:pPr>
        <w:pStyle w:val="changei"/>
      </w:pPr>
      <w:r>
        <w:t>Изменения и дополнения:</w:t>
      </w:r>
    </w:p>
    <w:p w:rsidR="001D7B1D" w:rsidRDefault="001D7B1D">
      <w:pPr>
        <w:pStyle w:val="changeadd"/>
      </w:pPr>
      <w:r>
        <w:t>Указ Президента Республики Беларусь от 13 апреля 2020 г. № 125 (Национальный правовой Интернет-портал Республики Беларусь, 15.04.2020, 1/18948) &lt;P32000125&gt;</w:t>
      </w:r>
    </w:p>
    <w:p w:rsidR="001D7B1D" w:rsidRDefault="001D7B1D">
      <w:pPr>
        <w:pStyle w:val="newncpi"/>
      </w:pPr>
      <w:r>
        <w:t> </w:t>
      </w:r>
    </w:p>
    <w:p w:rsidR="001D7B1D" w:rsidRDefault="001D7B1D">
      <w:pPr>
        <w:pStyle w:val="point"/>
      </w:pPr>
      <w:r>
        <w:t>1. Установить, что:</w:t>
      </w:r>
    </w:p>
    <w:p w:rsidR="001D7B1D" w:rsidRDefault="001D7B1D">
      <w:pPr>
        <w:pStyle w:val="underpoint"/>
      </w:pPr>
      <w:r>
        <w:t>1.1. при осуществлении государственных закупок медицинских изделий, запасных частей к ним, лекарственных средств и лечебного питания государственные органы имеют право определять перечни товаров, подлежащих государственной закупке, минимальное значение ориентировочной стоимости годовой потребности их государственной закупки, в том числе при централизации государственных закупок, с привлечением организаторов из числа следующих организаций:</w:t>
      </w:r>
    </w:p>
    <w:p w:rsidR="001D7B1D" w:rsidRDefault="001D7B1D">
      <w:pPr>
        <w:pStyle w:val="newncpi"/>
      </w:pPr>
      <w:r>
        <w:t>УП «</w:t>
      </w:r>
      <w:proofErr w:type="spellStart"/>
      <w:r>
        <w:t>Белмедтехника</w:t>
      </w:r>
      <w:proofErr w:type="spellEnd"/>
      <w:r>
        <w:t>» и его дочерние предприятия – при закупке медицинских изделий, запасных частей к ним;</w:t>
      </w:r>
    </w:p>
    <w:p w:rsidR="001D7B1D" w:rsidRDefault="001D7B1D">
      <w:pPr>
        <w:pStyle w:val="newncpi"/>
      </w:pPr>
      <w:r>
        <w:t>РУП «БЕЛФАРМАЦИЯ», Брестское РУП «Фармация», Витебское УП «Фармация», Гомельское УП «Фармация», Гродненское РУП «Фармация», Могилевское РУП «Фармация», РУП «Минская Фармация» (далее – предприятия) – при закупке лекарственных средств и лечебного питания;</w:t>
      </w:r>
    </w:p>
    <w:p w:rsidR="001D7B1D" w:rsidRDefault="001D7B1D">
      <w:pPr>
        <w:pStyle w:val="newncpi"/>
      </w:pPr>
      <w:r>
        <w:t>РУП «Белорусский протезно-ортопедический восстановительный центр» – при закупке технических средств социальной реабилитации, включенных в Государственный реестр (перечень) технических средств социальной реабилитации, за исключением технических средств социальной реабилитации, произведенных этим юридическим лицом;</w:t>
      </w:r>
    </w:p>
    <w:p w:rsidR="001D7B1D" w:rsidRDefault="001D7B1D">
      <w:pPr>
        <w:pStyle w:val="underpoint"/>
      </w:pPr>
      <w:r>
        <w:t>1.2. договоры с участниками-победителями (участниками процедуры закупки из одного источника) имеют право заключать от своего имени:</w:t>
      </w:r>
    </w:p>
    <w:p w:rsidR="001D7B1D" w:rsidRDefault="001D7B1D">
      <w:pPr>
        <w:pStyle w:val="newncpi"/>
      </w:pPr>
      <w:r>
        <w:t>УП «</w:t>
      </w:r>
      <w:proofErr w:type="spellStart"/>
      <w:r>
        <w:t>Белмедтехника</w:t>
      </w:r>
      <w:proofErr w:type="spellEnd"/>
      <w:r>
        <w:t>» – по результатам проведенных этим предприятием процедур закупок;</w:t>
      </w:r>
    </w:p>
    <w:p w:rsidR="001D7B1D" w:rsidRDefault="001D7B1D">
      <w:pPr>
        <w:pStyle w:val="newncpi"/>
      </w:pPr>
      <w:r>
        <w:t>дочерние предприятия УП «</w:t>
      </w:r>
      <w:proofErr w:type="spellStart"/>
      <w:r>
        <w:t>Белмедтехника</w:t>
      </w:r>
      <w:proofErr w:type="spellEnd"/>
      <w:r>
        <w:t>» – по результатам проведенных этими предприятиями или УП «</w:t>
      </w:r>
      <w:proofErr w:type="spellStart"/>
      <w:r>
        <w:t>Белмедтехника</w:t>
      </w:r>
      <w:proofErr w:type="spellEnd"/>
      <w:r>
        <w:t>» процедур закупок;</w:t>
      </w:r>
    </w:p>
    <w:p w:rsidR="001D7B1D" w:rsidRDefault="001D7B1D">
      <w:pPr>
        <w:pStyle w:val="newncpi"/>
      </w:pPr>
      <w:r>
        <w:t>РУП «БЕЛФАРМАЦИЯ» – по результатам проведенных этим предприятием процедур закупок;</w:t>
      </w:r>
    </w:p>
    <w:p w:rsidR="001D7B1D" w:rsidRDefault="001D7B1D">
      <w:pPr>
        <w:pStyle w:val="newncpi"/>
      </w:pPr>
      <w:r>
        <w:t>предприятия – по результатам проведенных ими или РУП «БЕЛФАРМАЦИЯ» процедур закупок;</w:t>
      </w:r>
    </w:p>
    <w:p w:rsidR="001D7B1D" w:rsidRDefault="001D7B1D">
      <w:pPr>
        <w:pStyle w:val="newncpi"/>
      </w:pPr>
      <w:r>
        <w:t>РУП «Белорусский протезно-ортопедический восстановительный центр» – по результатам проведенных этим предприятием процедур закупок;</w:t>
      </w:r>
    </w:p>
    <w:p w:rsidR="001D7B1D" w:rsidRDefault="001D7B1D">
      <w:pPr>
        <w:pStyle w:val="underpoint"/>
      </w:pPr>
      <w:r>
        <w:t>1.3. заказчики по результатам процедур закупок, проведенных в соответствии с подпунктами 1.1 и 1.2 настоящего пункта, имеют право не проводить процедуры государственных закупок при приобретении:</w:t>
      </w:r>
    </w:p>
    <w:p w:rsidR="001D7B1D" w:rsidRDefault="001D7B1D">
      <w:pPr>
        <w:pStyle w:val="newncpi"/>
      </w:pPr>
      <w:r>
        <w:t>медицинских изделий и запасных частей к ним – у УП «</w:t>
      </w:r>
      <w:proofErr w:type="spellStart"/>
      <w:r>
        <w:t>Белмедтехника</w:t>
      </w:r>
      <w:proofErr w:type="spellEnd"/>
      <w:r>
        <w:t>» и его дочерних предприятий;</w:t>
      </w:r>
    </w:p>
    <w:p w:rsidR="001D7B1D" w:rsidRDefault="001D7B1D">
      <w:pPr>
        <w:pStyle w:val="newncpi"/>
      </w:pPr>
      <w:r>
        <w:t>лекарственных средств и лечебного питания – у РУП «БЕЛФАРМАЦИЯ» и предприятий;</w:t>
      </w:r>
    </w:p>
    <w:p w:rsidR="001D7B1D" w:rsidRDefault="001D7B1D">
      <w:pPr>
        <w:pStyle w:val="newncpi"/>
      </w:pPr>
      <w:r>
        <w:t>технических средств социальной реабилитации, включенных в Государственный реестр (перечень) технических средств социальной реабилитации, – у РУП «Белорусский протезно-ортопедический восстановительный центр»;</w:t>
      </w:r>
    </w:p>
    <w:p w:rsidR="001D7B1D" w:rsidRDefault="001D7B1D">
      <w:pPr>
        <w:pStyle w:val="underpoint"/>
      </w:pPr>
      <w:r>
        <w:lastRenderedPageBreak/>
        <w:t>1.4. в случае заключения между организатором и заказчиком договора комиссии размер вознаграждения организатора устанавливается ежегодно государственным органом, определившим организатора, по согласованию:</w:t>
      </w:r>
    </w:p>
    <w:p w:rsidR="001D7B1D" w:rsidRDefault="001D7B1D">
      <w:pPr>
        <w:pStyle w:val="newncpi"/>
      </w:pPr>
      <w:r>
        <w:t>с Министерством финансов – при закупках за счет средств республиканского бюджета;</w:t>
      </w:r>
    </w:p>
    <w:p w:rsidR="001D7B1D" w:rsidRDefault="001D7B1D">
      <w:pPr>
        <w:pStyle w:val="newncpi"/>
      </w:pPr>
      <w:r>
        <w:t>с финансовыми органами облисполкомов и Минского горисполкома – при закупках за счет средств местных бюджетов.</w:t>
      </w:r>
    </w:p>
    <w:p w:rsidR="001D7B1D" w:rsidRDefault="001D7B1D">
      <w:pPr>
        <w:pStyle w:val="newncpi"/>
      </w:pPr>
      <w:r>
        <w:t>Для согласования размера вознаграждения в соответствии с частью первой настоящего подпункта организаторы представляют государственным органам расчет указанного размера вознаграждения, составленный в порядке, определяемом Советом Министров Республики Беларусь, с приложением подтверждающих документов.</w:t>
      </w:r>
    </w:p>
    <w:p w:rsidR="001D7B1D" w:rsidRDefault="001D7B1D">
      <w:pPr>
        <w:pStyle w:val="newncpi"/>
      </w:pPr>
      <w:r>
        <w:t>Перечисление организатору суммы вознаграждения осуществляется после представления им заказчику отчета об исполнении договора комиссии;</w:t>
      </w:r>
    </w:p>
    <w:p w:rsidR="001D7B1D" w:rsidRDefault="001D7B1D">
      <w:pPr>
        <w:pStyle w:val="newncpi"/>
      </w:pPr>
      <w:proofErr w:type="gramStart"/>
      <w:r>
        <w:t>1.5. в случае, если участником-победителем (участником процедуры закупки из одного источника) по результатам проведения процедур закупок выбран участник, с которым РУП «БЕЛФАРМАЦИЯ» или предприятиями по результатам ранее проведенных процедур закупок заключен договор на поставку лекарственных средств и (или) лечебного питания, РУП «БЕЛФАРМАЦИЯ» или предприятия вправе заключить с таким участником-победителем (участником процедуры закупки из одного источника) дополнительное соглашение к указанному договору;</w:t>
      </w:r>
      <w:proofErr w:type="gramEnd"/>
    </w:p>
    <w:p w:rsidR="001D7B1D" w:rsidRDefault="001D7B1D">
      <w:pPr>
        <w:pStyle w:val="underpoint"/>
      </w:pPr>
      <w:r>
        <w:t>1.6. закупки услуг по ремонту, запасных частей и (или) расходных материалов для осуществления ремонта медицинской техники (приложение) могут осуществляться заказчиками (организаторами) с применением процедуры закупки из одного источника;</w:t>
      </w:r>
    </w:p>
    <w:p w:rsidR="001D7B1D" w:rsidRDefault="001D7B1D">
      <w:pPr>
        <w:pStyle w:val="underpoint"/>
      </w:pPr>
      <w:r>
        <w:t>1.7. в случае признания несостоявшейся процедуры закупки медицинских изделий, запасных частей к ним, лекарственных средств и лечебного питания, в том числе при централизации государственных закупок, УП «</w:t>
      </w:r>
      <w:proofErr w:type="spellStart"/>
      <w:r>
        <w:t>Белмедтехника</w:t>
      </w:r>
      <w:proofErr w:type="spellEnd"/>
      <w:r>
        <w:t>» и РУП «БЕЛФАРМАЦИЯ» вправе провести процедуру закупки из одного источника по согласованию с Министерством здравоохранения;</w:t>
      </w:r>
    </w:p>
    <w:p w:rsidR="001D7B1D" w:rsidRDefault="001D7B1D">
      <w:pPr>
        <w:pStyle w:val="underpoint"/>
      </w:pPr>
      <w:r>
        <w:t xml:space="preserve">1.8. организатор имеет право проводить процедуры закупок медицинских изделий, запасных частей к ним, лекарственных средств и лечебного </w:t>
      </w:r>
      <w:proofErr w:type="gramStart"/>
      <w:r>
        <w:t>питания</w:t>
      </w:r>
      <w:proofErr w:type="gramEnd"/>
      <w:r>
        <w:t xml:space="preserve"> на очередной финансовый год начиная с IV квартала текущего года. Основанием для проведения таких процедур до выделения финансирования заказчику является утверждаемый им годовой план государственных закупок на очередной финансовый год, размещенный в государственной информационно-аналитической системе управления государственными закупками, на сумму, не превышающую объема финансовых средств, использованных заказчиком в текущем финансовом году по соответствующим статьям расходов бюджета.</w:t>
      </w:r>
    </w:p>
    <w:p w:rsidR="001D7B1D" w:rsidRDefault="001D7B1D">
      <w:pPr>
        <w:pStyle w:val="point"/>
      </w:pPr>
      <w:r>
        <w:t>2. Определить, что:</w:t>
      </w:r>
    </w:p>
    <w:p w:rsidR="001D7B1D" w:rsidRDefault="001D7B1D">
      <w:pPr>
        <w:pStyle w:val="newncpi"/>
      </w:pPr>
      <w:r>
        <w:t>при закупке УП «</w:t>
      </w:r>
      <w:proofErr w:type="spellStart"/>
      <w:r>
        <w:t>Белмедтехника</w:t>
      </w:r>
      <w:proofErr w:type="spellEnd"/>
      <w:r>
        <w:t>» и его дочерними предприятиями в соответствии с абзацем вторым подпункта 1.1 и абзацами вторым и третьим подпункта 1.2 пункта 1 настоящего Указа медицинских изделий при строительстве с заказчиками заключаются договоры комиссии. При этом размер вознаграждения организатора по договору комиссии устанавливается в порядке, определенном в подпункте 1.4 пункта 1 настоящего Указа, в пределах средств на содержание заказчика строительства, предусмотренных сводным сметным расчетом стоимости строительства;</w:t>
      </w:r>
    </w:p>
    <w:p w:rsidR="001D7B1D" w:rsidRDefault="001D7B1D">
      <w:pPr>
        <w:pStyle w:val="newncpi"/>
      </w:pPr>
      <w:r>
        <w:t>государственные закупки с применением процедуры закупки из одного источника технических средств социальной реабилитации, включенных в Государственный реестр (перечень) технических средств социальной реабилитации, произведенных РУП «Белорусский протезно-ортопедический восстановительный центр», осуществляются заказчиками у этого предприятия.</w:t>
      </w:r>
    </w:p>
    <w:p w:rsidR="001D7B1D" w:rsidRDefault="001D7B1D">
      <w:pPr>
        <w:pStyle w:val="point"/>
      </w:pPr>
      <w:r>
        <w:t>3. Для целей настоящего Указа используемые в нем термины имеют следующее значение:</w:t>
      </w:r>
    </w:p>
    <w:p w:rsidR="001D7B1D" w:rsidRDefault="001D7B1D">
      <w:pPr>
        <w:pStyle w:val="newncpi"/>
      </w:pPr>
      <w:r>
        <w:lastRenderedPageBreak/>
        <w:t>государственная закупка – приобретение товаров (работ, услуг) полностью или частично за счет бюджетных средств и (или) средств государственных внебюджетных фондов получателями таких средств, а также отношения, связанные с исполнением договора государственной закупки;</w:t>
      </w:r>
    </w:p>
    <w:p w:rsidR="001D7B1D" w:rsidRDefault="001D7B1D">
      <w:pPr>
        <w:pStyle w:val="newncpi"/>
      </w:pPr>
      <w:r>
        <w:t>государственные органы – Управление делами Президента Республики Беларусь, республиканские органы государственного управления и иные государственные организации, подчиненные Правительству Республики Беларусь, облисполкомы и Минский горисполком;</w:t>
      </w:r>
    </w:p>
    <w:p w:rsidR="001D7B1D" w:rsidRDefault="001D7B1D">
      <w:pPr>
        <w:pStyle w:val="newncpi"/>
      </w:pPr>
      <w:r>
        <w:t>заказчики – государственные органы, в том числе их структурные подразделения с правами юридического лица, организации, подчиненные (входящие в состав, систему) государственным органам, их структурным подразделениям с правами юридического лица;</w:t>
      </w:r>
    </w:p>
    <w:p w:rsidR="001D7B1D" w:rsidRDefault="001D7B1D">
      <w:pPr>
        <w:pStyle w:val="newncpi"/>
      </w:pPr>
      <w:r>
        <w:t xml:space="preserve">лечебное питание – лечебные питательные смеси для внутреннего применения лицами, страдающими </w:t>
      </w:r>
      <w:proofErr w:type="spellStart"/>
      <w:r>
        <w:t>фенилкетонурией</w:t>
      </w:r>
      <w:proofErr w:type="spellEnd"/>
      <w:r>
        <w:t>, нарушением обмена тирозина, другими нарушениями обмена ароматических аминокислот, болезнью «кленового сиропа» (</w:t>
      </w:r>
      <w:proofErr w:type="spellStart"/>
      <w:r>
        <w:t>лейцинозом</w:t>
      </w:r>
      <w:proofErr w:type="spellEnd"/>
      <w:r>
        <w:t>), другими видами нарушений обмена аминокислот с разветвленной цепью, нарушением обмена жирных кислот, нарушением обмена серосодержащих аминокислот;</w:t>
      </w:r>
    </w:p>
    <w:p w:rsidR="001D7B1D" w:rsidRDefault="001D7B1D">
      <w:pPr>
        <w:pStyle w:val="newncpi"/>
      </w:pPr>
      <w:r>
        <w:t>организатор – юридическое лицо, выполняющее от имени заказчика часть его функций по организации и проведению государственных закупок;</w:t>
      </w:r>
    </w:p>
    <w:p w:rsidR="001D7B1D" w:rsidRDefault="001D7B1D">
      <w:pPr>
        <w:pStyle w:val="newncpi"/>
      </w:pPr>
      <w:r>
        <w:t>централизация государственных закупок – организация закупок однородных товаров (работ, услуг) организатором для нужд нескольких заказчиков.</w:t>
      </w:r>
    </w:p>
    <w:p w:rsidR="001D7B1D" w:rsidRDefault="001D7B1D">
      <w:pPr>
        <w:pStyle w:val="point"/>
      </w:pPr>
      <w:r>
        <w:t>4. Совету Министров Республики Беларусь в двухмесячный срок принять меры по реализации настоящего Указа.</w:t>
      </w:r>
    </w:p>
    <w:p w:rsidR="001D7B1D" w:rsidRDefault="001D7B1D">
      <w:pPr>
        <w:pStyle w:val="point"/>
      </w:pPr>
      <w:r>
        <w:t>5. Настоящий Указ вступает в силу в следующем порядке:</w:t>
      </w:r>
    </w:p>
    <w:p w:rsidR="001D7B1D" w:rsidRDefault="001D7B1D">
      <w:pPr>
        <w:pStyle w:val="newncpi"/>
      </w:pPr>
      <w:r>
        <w:t>часть вторая подпункта 1.4 пункта 1 – через два месяца после официального опубликования данного Указа;</w:t>
      </w:r>
    </w:p>
    <w:p w:rsidR="001D7B1D" w:rsidRDefault="001D7B1D">
      <w:pPr>
        <w:pStyle w:val="newncpi"/>
      </w:pPr>
      <w:r>
        <w:t>иные положения этого Указа – после его официального опубликования и распространяют свое действие на отношения, возникшие с 1 января 2019 г.</w:t>
      </w:r>
    </w:p>
    <w:p w:rsidR="001D7B1D" w:rsidRDefault="001D7B1D">
      <w:pPr>
        <w:pStyle w:val="newncpi"/>
      </w:pPr>
      <w:r>
        <w:t>Настоящий Указ действует по 31 декабря 2020 г.</w:t>
      </w:r>
    </w:p>
    <w:p w:rsidR="001D7B1D" w:rsidRDefault="001D7B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D7B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7B1D" w:rsidRDefault="001D7B1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7B1D" w:rsidRDefault="001D7B1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1D7B1D" w:rsidRDefault="001D7B1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1D7B1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B1D" w:rsidRDefault="001D7B1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B1D" w:rsidRDefault="001D7B1D">
            <w:pPr>
              <w:pStyle w:val="append1"/>
            </w:pPr>
            <w:r>
              <w:t>Приложение</w:t>
            </w:r>
          </w:p>
          <w:p w:rsidR="001D7B1D" w:rsidRDefault="001D7B1D">
            <w:pPr>
              <w:pStyle w:val="append"/>
            </w:pPr>
            <w:r>
              <w:t xml:space="preserve">к Указу Президента </w:t>
            </w:r>
            <w:r>
              <w:br/>
              <w:t xml:space="preserve">Республики Беларусь </w:t>
            </w:r>
            <w:r>
              <w:br/>
              <w:t xml:space="preserve">07.02.2019 № 40 </w:t>
            </w:r>
            <w:r>
              <w:br/>
              <w:t xml:space="preserve">(в редакции Указа Президента </w:t>
            </w:r>
            <w:r>
              <w:br/>
              <w:t xml:space="preserve">Республики Беларусь </w:t>
            </w:r>
            <w:r>
              <w:br/>
              <w:t xml:space="preserve">13.04.2020 № 125) </w:t>
            </w:r>
          </w:p>
        </w:tc>
      </w:tr>
    </w:tbl>
    <w:p w:rsidR="001D7B1D" w:rsidRDefault="001D7B1D">
      <w:pPr>
        <w:pStyle w:val="titlep"/>
        <w:jc w:val="left"/>
      </w:pPr>
      <w:r>
        <w:t>ПЕРЕЧЕНЬ</w:t>
      </w:r>
      <w:r>
        <w:br/>
        <w:t>медицинской техники, для осуществления ремонта которой закупки услуг по ремонту, запасных частей и (или) расходных материалов могут осуществляться с применением процедуры закупки из одного источника</w:t>
      </w:r>
    </w:p>
    <w:p w:rsidR="001D7B1D" w:rsidRDefault="001D7B1D">
      <w:pPr>
        <w:pStyle w:val="point"/>
      </w:pPr>
      <w:r>
        <w:t>1. Системы радиологические диагностические:</w:t>
      </w:r>
    </w:p>
    <w:p w:rsidR="001D7B1D" w:rsidRDefault="001D7B1D">
      <w:pPr>
        <w:pStyle w:val="newncpi"/>
      </w:pPr>
      <w:r>
        <w:t>томографы магнитно-резонансные;</w:t>
      </w:r>
    </w:p>
    <w:p w:rsidR="001D7B1D" w:rsidRDefault="001D7B1D">
      <w:pPr>
        <w:pStyle w:val="newncpi"/>
      </w:pPr>
      <w:r>
        <w:t>томографы рентгеновские компьютерные;</w:t>
      </w:r>
    </w:p>
    <w:p w:rsidR="001D7B1D" w:rsidRDefault="001D7B1D">
      <w:pPr>
        <w:pStyle w:val="newncpi"/>
      </w:pPr>
      <w:r>
        <w:t>томографы позитронно-эмиссионные;</w:t>
      </w:r>
    </w:p>
    <w:p w:rsidR="001D7B1D" w:rsidRDefault="001D7B1D">
      <w:pPr>
        <w:pStyle w:val="newncpi"/>
      </w:pPr>
      <w:r>
        <w:t>томографы конусно-лучевые компьютерные;</w:t>
      </w:r>
    </w:p>
    <w:p w:rsidR="001D7B1D" w:rsidRDefault="001D7B1D">
      <w:pPr>
        <w:pStyle w:val="newncpi"/>
      </w:pPr>
      <w:proofErr w:type="gramStart"/>
      <w:r>
        <w:t>гамма-камеры</w:t>
      </w:r>
      <w:proofErr w:type="gramEnd"/>
      <w:r>
        <w:t>;</w:t>
      </w:r>
    </w:p>
    <w:p w:rsidR="001D7B1D" w:rsidRDefault="001D7B1D">
      <w:pPr>
        <w:pStyle w:val="newncpi"/>
      </w:pPr>
      <w:r>
        <w:t>аппараты рентгеновские ангиографические;</w:t>
      </w:r>
    </w:p>
    <w:p w:rsidR="001D7B1D" w:rsidRDefault="001D7B1D">
      <w:pPr>
        <w:pStyle w:val="newncpi"/>
      </w:pPr>
      <w:r>
        <w:t>аппараты рентгеновские денситометрические;</w:t>
      </w:r>
    </w:p>
    <w:p w:rsidR="001D7B1D" w:rsidRDefault="001D7B1D">
      <w:pPr>
        <w:pStyle w:val="newncpi"/>
      </w:pPr>
      <w:r>
        <w:lastRenderedPageBreak/>
        <w:t>аппараты рентгеновские диагностические;</w:t>
      </w:r>
    </w:p>
    <w:p w:rsidR="001D7B1D" w:rsidRDefault="001D7B1D">
      <w:pPr>
        <w:pStyle w:val="newncpi"/>
      </w:pPr>
      <w:r>
        <w:t xml:space="preserve">аппараты рентгеновские </w:t>
      </w:r>
      <w:proofErr w:type="spellStart"/>
      <w:r>
        <w:t>маммографические</w:t>
      </w:r>
      <w:proofErr w:type="spellEnd"/>
      <w:r>
        <w:t>;</w:t>
      </w:r>
    </w:p>
    <w:p w:rsidR="001D7B1D" w:rsidRDefault="001D7B1D">
      <w:pPr>
        <w:pStyle w:val="newncpi"/>
      </w:pPr>
      <w:r>
        <w:t>аппараты рентгеновские флюорографические;</w:t>
      </w:r>
    </w:p>
    <w:p w:rsidR="001D7B1D" w:rsidRDefault="001D7B1D">
      <w:pPr>
        <w:pStyle w:val="newncpi"/>
      </w:pPr>
      <w:r>
        <w:t>аппараты рентгеновские передвижные.</w:t>
      </w:r>
    </w:p>
    <w:p w:rsidR="001D7B1D" w:rsidRDefault="001D7B1D">
      <w:pPr>
        <w:pStyle w:val="point"/>
      </w:pPr>
      <w:r>
        <w:t>2. Системы радиологические терапевтические:</w:t>
      </w:r>
    </w:p>
    <w:p w:rsidR="001D7B1D" w:rsidRDefault="001D7B1D">
      <w:pPr>
        <w:pStyle w:val="newncpi"/>
      </w:pPr>
      <w:r>
        <w:t>аппараты для лучевой терапии (</w:t>
      </w:r>
      <w:proofErr w:type="spellStart"/>
      <w:r>
        <w:t>брахитерапии</w:t>
      </w:r>
      <w:proofErr w:type="spellEnd"/>
      <w:r>
        <w:t>);</w:t>
      </w:r>
    </w:p>
    <w:p w:rsidR="001D7B1D" w:rsidRDefault="001D7B1D">
      <w:pPr>
        <w:pStyle w:val="newncpi"/>
      </w:pPr>
      <w:r>
        <w:t>линейные ускорители;</w:t>
      </w:r>
    </w:p>
    <w:p w:rsidR="001D7B1D" w:rsidRDefault="001D7B1D">
      <w:pPr>
        <w:pStyle w:val="newncpi"/>
      </w:pPr>
      <w:r>
        <w:t>системы рентгенотерапевтические;</w:t>
      </w:r>
    </w:p>
    <w:p w:rsidR="001D7B1D" w:rsidRDefault="001D7B1D">
      <w:pPr>
        <w:pStyle w:val="newncpi"/>
      </w:pPr>
      <w:r>
        <w:t xml:space="preserve">аппараты </w:t>
      </w:r>
      <w:proofErr w:type="spellStart"/>
      <w:r>
        <w:t>гамматерапевтические</w:t>
      </w:r>
      <w:proofErr w:type="spellEnd"/>
      <w:r>
        <w:t xml:space="preserve"> для дистанционной лучевой терапии.</w:t>
      </w:r>
    </w:p>
    <w:p w:rsidR="001D7B1D" w:rsidRDefault="001D7B1D">
      <w:pPr>
        <w:pStyle w:val="point"/>
      </w:pPr>
      <w:r>
        <w:t>3. </w:t>
      </w:r>
      <w:proofErr w:type="spellStart"/>
      <w:r>
        <w:t>Литотрипторы</w:t>
      </w:r>
      <w:proofErr w:type="spellEnd"/>
      <w:r>
        <w:t>.</w:t>
      </w:r>
    </w:p>
    <w:p w:rsidR="001D7B1D" w:rsidRDefault="001D7B1D">
      <w:pPr>
        <w:pStyle w:val="newncpi"/>
      </w:pPr>
      <w:r>
        <w:t> </w:t>
      </w:r>
    </w:p>
    <w:p w:rsidR="00DA4945" w:rsidRDefault="00DA4945"/>
    <w:sectPr w:rsidR="00DA4945" w:rsidSect="001D7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F1" w:rsidRDefault="000657F1" w:rsidP="001D7B1D">
      <w:pPr>
        <w:spacing w:after="0" w:line="240" w:lineRule="auto"/>
      </w:pPr>
      <w:r>
        <w:separator/>
      </w:r>
    </w:p>
  </w:endnote>
  <w:endnote w:type="continuationSeparator" w:id="0">
    <w:p w:rsidR="000657F1" w:rsidRDefault="000657F1" w:rsidP="001D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D" w:rsidRDefault="001D7B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D" w:rsidRDefault="001D7B1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D7B1D" w:rsidTr="001D7B1D">
      <w:tc>
        <w:tcPr>
          <w:tcW w:w="1800" w:type="dxa"/>
          <w:shd w:val="clear" w:color="auto" w:fill="auto"/>
          <w:vAlign w:val="center"/>
        </w:tcPr>
        <w:p w:rsidR="001D7B1D" w:rsidRDefault="001D7B1D">
          <w:pPr>
            <w:pStyle w:val="af7"/>
          </w:pPr>
          <w:r>
            <w:rPr>
              <w:noProof/>
              <w:lang w:eastAsia="ru-RU"/>
            </w:rPr>
            <w:drawing>
              <wp:inline distT="0" distB="0" distL="0" distR="0" wp14:anchorId="0C2A30A3" wp14:editId="49988A8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D7B1D" w:rsidRDefault="001D7B1D">
          <w:pPr>
            <w:pStyle w:val="af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D7B1D" w:rsidRDefault="001D7B1D">
          <w:pPr>
            <w:pStyle w:val="af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12.08.2020</w:t>
          </w:r>
        </w:p>
        <w:p w:rsidR="001D7B1D" w:rsidRPr="001D7B1D" w:rsidRDefault="001D7B1D">
          <w:pPr>
            <w:pStyle w:val="af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D7B1D" w:rsidRDefault="001D7B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F1" w:rsidRDefault="000657F1" w:rsidP="001D7B1D">
      <w:pPr>
        <w:spacing w:after="0" w:line="240" w:lineRule="auto"/>
      </w:pPr>
      <w:r>
        <w:separator/>
      </w:r>
    </w:p>
  </w:footnote>
  <w:footnote w:type="continuationSeparator" w:id="0">
    <w:p w:rsidR="000657F1" w:rsidRDefault="000657F1" w:rsidP="001D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D" w:rsidRDefault="001D7B1D" w:rsidP="0048374F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D7B1D" w:rsidRDefault="001D7B1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D" w:rsidRPr="001D7B1D" w:rsidRDefault="001D7B1D" w:rsidP="0048374F">
    <w:pPr>
      <w:pStyle w:val="af5"/>
      <w:framePr w:wrap="around" w:vAnchor="text" w:hAnchor="margin" w:xAlign="center" w:y="1"/>
      <w:rPr>
        <w:rStyle w:val="af9"/>
        <w:rFonts w:ascii="Times New Roman" w:hAnsi="Times New Roman" w:cs="Times New Roman"/>
        <w:sz w:val="24"/>
      </w:rPr>
    </w:pPr>
    <w:r w:rsidRPr="001D7B1D">
      <w:rPr>
        <w:rStyle w:val="af9"/>
        <w:rFonts w:ascii="Times New Roman" w:hAnsi="Times New Roman" w:cs="Times New Roman"/>
        <w:sz w:val="24"/>
      </w:rPr>
      <w:fldChar w:fldCharType="begin"/>
    </w:r>
    <w:r w:rsidRPr="001D7B1D">
      <w:rPr>
        <w:rStyle w:val="af9"/>
        <w:rFonts w:ascii="Times New Roman" w:hAnsi="Times New Roman" w:cs="Times New Roman"/>
        <w:sz w:val="24"/>
      </w:rPr>
      <w:instrText xml:space="preserve">PAGE  </w:instrText>
    </w:r>
    <w:r w:rsidRPr="001D7B1D">
      <w:rPr>
        <w:rStyle w:val="af9"/>
        <w:rFonts w:ascii="Times New Roman" w:hAnsi="Times New Roman" w:cs="Times New Roman"/>
        <w:sz w:val="24"/>
      </w:rPr>
      <w:fldChar w:fldCharType="separate"/>
    </w:r>
    <w:r>
      <w:rPr>
        <w:rStyle w:val="af9"/>
        <w:rFonts w:ascii="Times New Roman" w:hAnsi="Times New Roman" w:cs="Times New Roman"/>
        <w:noProof/>
        <w:sz w:val="24"/>
      </w:rPr>
      <w:t>4</w:t>
    </w:r>
    <w:r w:rsidRPr="001D7B1D">
      <w:rPr>
        <w:rStyle w:val="af9"/>
        <w:rFonts w:ascii="Times New Roman" w:hAnsi="Times New Roman" w:cs="Times New Roman"/>
        <w:sz w:val="24"/>
      </w:rPr>
      <w:fldChar w:fldCharType="end"/>
    </w:r>
  </w:p>
  <w:p w:rsidR="001D7B1D" w:rsidRPr="001D7B1D" w:rsidRDefault="001D7B1D">
    <w:pPr>
      <w:pStyle w:val="af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1D" w:rsidRDefault="001D7B1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1D"/>
    <w:rsid w:val="000657F1"/>
    <w:rsid w:val="001D7B1D"/>
    <w:rsid w:val="00C87AC0"/>
    <w:rsid w:val="00D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87A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7A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7A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7A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7AC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87A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87A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7AC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87A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87A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7A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87A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87AC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87AC0"/>
    <w:rPr>
      <w:b/>
      <w:i/>
      <w:iCs/>
    </w:rPr>
  </w:style>
  <w:style w:type="paragraph" w:styleId="aa">
    <w:name w:val="No Spacing"/>
    <w:link w:val="ab"/>
    <w:uiPriority w:val="1"/>
    <w:qFormat/>
    <w:rsid w:val="00C87AC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7AC0"/>
  </w:style>
  <w:style w:type="paragraph" w:styleId="ac">
    <w:name w:val="List Paragraph"/>
    <w:basedOn w:val="a"/>
    <w:uiPriority w:val="34"/>
    <w:qFormat/>
    <w:rsid w:val="00C87A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87AC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87AC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87A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87AC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87AC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87AC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87AC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87AC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87AC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87AC0"/>
    <w:pPr>
      <w:spacing w:before="480" w:line="264" w:lineRule="auto"/>
      <w:outlineLvl w:val="9"/>
    </w:pPr>
    <w:rPr>
      <w:b/>
    </w:rPr>
  </w:style>
  <w:style w:type="paragraph" w:customStyle="1" w:styleId="titlencpi">
    <w:name w:val="titlencpi"/>
    <w:basedOn w:val="a"/>
    <w:rsid w:val="001D7B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D7B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7B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D7B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D7B1D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hangeadd">
    <w:name w:val="changeadd"/>
    <w:basedOn w:val="a"/>
    <w:rsid w:val="001D7B1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7B1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7B1D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newncpi">
    <w:name w:val="newncpi"/>
    <w:basedOn w:val="a"/>
    <w:rsid w:val="001D7B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7B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D7B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7B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7B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7B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D7B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7B1D"/>
    <w:rPr>
      <w:rFonts w:ascii="Times New Roman" w:hAnsi="Times New Roman" w:cs="Times New Roman" w:hint="default"/>
      <w:b/>
      <w:bCs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1D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D7B1D"/>
    <w:rPr>
      <w:sz w:val="21"/>
    </w:rPr>
  </w:style>
  <w:style w:type="paragraph" w:styleId="af7">
    <w:name w:val="footer"/>
    <w:basedOn w:val="a"/>
    <w:link w:val="af8"/>
    <w:uiPriority w:val="99"/>
    <w:unhideWhenUsed/>
    <w:rsid w:val="001D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D7B1D"/>
    <w:rPr>
      <w:sz w:val="21"/>
    </w:rPr>
  </w:style>
  <w:style w:type="character" w:styleId="af9">
    <w:name w:val="page number"/>
    <w:basedOn w:val="a0"/>
    <w:uiPriority w:val="99"/>
    <w:semiHidden/>
    <w:unhideWhenUsed/>
    <w:rsid w:val="001D7B1D"/>
  </w:style>
  <w:style w:type="table" w:styleId="afa">
    <w:name w:val="Table Grid"/>
    <w:basedOn w:val="a1"/>
    <w:uiPriority w:val="59"/>
    <w:rsid w:val="001D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87A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7A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7A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7A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7AC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87A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87A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7AC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87A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87A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7A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87A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87AC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87AC0"/>
    <w:rPr>
      <w:b/>
      <w:i/>
      <w:iCs/>
    </w:rPr>
  </w:style>
  <w:style w:type="paragraph" w:styleId="aa">
    <w:name w:val="No Spacing"/>
    <w:link w:val="ab"/>
    <w:uiPriority w:val="1"/>
    <w:qFormat/>
    <w:rsid w:val="00C87AC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7AC0"/>
  </w:style>
  <w:style w:type="paragraph" w:styleId="ac">
    <w:name w:val="List Paragraph"/>
    <w:basedOn w:val="a"/>
    <w:uiPriority w:val="34"/>
    <w:qFormat/>
    <w:rsid w:val="00C87A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87AC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87AC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87A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87AC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87AC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87AC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87AC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87AC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87AC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87AC0"/>
    <w:pPr>
      <w:spacing w:before="480" w:line="264" w:lineRule="auto"/>
      <w:outlineLvl w:val="9"/>
    </w:pPr>
    <w:rPr>
      <w:b/>
    </w:rPr>
  </w:style>
  <w:style w:type="paragraph" w:customStyle="1" w:styleId="titlencpi">
    <w:name w:val="titlencpi"/>
    <w:basedOn w:val="a"/>
    <w:rsid w:val="001D7B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D7B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7B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D7B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D7B1D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hangeadd">
    <w:name w:val="changeadd"/>
    <w:basedOn w:val="a"/>
    <w:rsid w:val="001D7B1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7B1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7B1D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newncpi">
    <w:name w:val="newncpi"/>
    <w:basedOn w:val="a"/>
    <w:rsid w:val="001D7B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7B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D7B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7B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7B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7B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D7B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7B1D"/>
    <w:rPr>
      <w:rFonts w:ascii="Times New Roman" w:hAnsi="Times New Roman" w:cs="Times New Roman" w:hint="default"/>
      <w:b/>
      <w:bCs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1D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D7B1D"/>
    <w:rPr>
      <w:sz w:val="21"/>
    </w:rPr>
  </w:style>
  <w:style w:type="paragraph" w:styleId="af7">
    <w:name w:val="footer"/>
    <w:basedOn w:val="a"/>
    <w:link w:val="af8"/>
    <w:uiPriority w:val="99"/>
    <w:unhideWhenUsed/>
    <w:rsid w:val="001D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D7B1D"/>
    <w:rPr>
      <w:sz w:val="21"/>
    </w:rPr>
  </w:style>
  <w:style w:type="character" w:styleId="af9">
    <w:name w:val="page number"/>
    <w:basedOn w:val="a0"/>
    <w:uiPriority w:val="99"/>
    <w:semiHidden/>
    <w:unhideWhenUsed/>
    <w:rsid w:val="001D7B1D"/>
  </w:style>
  <w:style w:type="table" w:styleId="afa">
    <w:name w:val="Table Grid"/>
    <w:basedOn w:val="a1"/>
    <w:uiPriority w:val="59"/>
    <w:rsid w:val="001D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8112</Characters>
  <Application>Microsoft Office Word</Application>
  <DocSecurity>0</DocSecurity>
  <Lines>165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2020-08-12T06:58:00Z</dcterms:created>
  <dcterms:modified xsi:type="dcterms:W3CDTF">2020-08-12T06:59:00Z</dcterms:modified>
</cp:coreProperties>
</file>